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03AC1" w14:textId="77777777" w:rsidR="00EC06B1" w:rsidRPr="00E35E08" w:rsidRDefault="00EC06B1" w:rsidP="00EC06B1">
      <w:pPr>
        <w:spacing w:line="240" w:lineRule="auto"/>
        <w:jc w:val="right"/>
        <w:rPr>
          <w:sz w:val="48"/>
          <w:szCs w:val="48"/>
        </w:rPr>
      </w:pPr>
      <w:r w:rsidRPr="003F4C4A">
        <w:rPr>
          <w:noProof/>
          <w:sz w:val="48"/>
          <w:szCs w:val="48"/>
        </w:rPr>
        <w:drawing>
          <wp:inline distT="0" distB="0" distL="0" distR="0" wp14:anchorId="535CFA8F" wp14:editId="31052EB2">
            <wp:extent cx="914400" cy="1143000"/>
            <wp:effectExtent l="0" t="0" r="0" b="0"/>
            <wp:docPr id="1" name="Bild 2" descr="logo-a-rgb-9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a-rgb-900dpi"/>
                    <pic:cNvPicPr>
                      <a:picLocks noChangeAspect="1" noChangeArrowheads="1"/>
                    </pic:cNvPicPr>
                  </pic:nvPicPr>
                  <pic:blipFill>
                    <a:blip r:embed="rId8">
                      <a:extLst>
                        <a:ext uri="{28A0092B-C50C-407E-A947-70E740481C1C}">
                          <a14:useLocalDpi xmlns:a14="http://schemas.microsoft.com/office/drawing/2010/main" val="0"/>
                        </a:ext>
                      </a:extLst>
                    </a:blip>
                    <a:srcRect l="13080" r="12726"/>
                    <a:stretch>
                      <a:fillRect/>
                    </a:stretch>
                  </pic:blipFill>
                  <pic:spPr bwMode="auto">
                    <a:xfrm>
                      <a:off x="0" y="0"/>
                      <a:ext cx="914400" cy="1143000"/>
                    </a:xfrm>
                    <a:prstGeom prst="rect">
                      <a:avLst/>
                    </a:prstGeom>
                    <a:noFill/>
                    <a:ln>
                      <a:noFill/>
                    </a:ln>
                  </pic:spPr>
                </pic:pic>
              </a:graphicData>
            </a:graphic>
          </wp:inline>
        </w:drawing>
      </w:r>
    </w:p>
    <w:p w14:paraId="31FAC42C" w14:textId="77777777" w:rsidR="00EC06B1" w:rsidRPr="00CA1888" w:rsidRDefault="00EC06B1" w:rsidP="00EC06B1">
      <w:pPr>
        <w:spacing w:line="240" w:lineRule="auto"/>
        <w:rPr>
          <w:sz w:val="56"/>
          <w:szCs w:val="48"/>
        </w:rPr>
      </w:pPr>
    </w:p>
    <w:p w14:paraId="7C449F73" w14:textId="77777777" w:rsidR="00EC06B1" w:rsidRPr="00CA1888" w:rsidRDefault="00EC06B1" w:rsidP="00EC06B1">
      <w:pPr>
        <w:spacing w:line="240" w:lineRule="auto"/>
        <w:rPr>
          <w:sz w:val="56"/>
          <w:szCs w:val="48"/>
        </w:rPr>
      </w:pPr>
    </w:p>
    <w:p w14:paraId="6FA60C50" w14:textId="77777777" w:rsidR="00EC06B1" w:rsidRPr="00CA1888" w:rsidRDefault="00EC06B1" w:rsidP="00EC06B1">
      <w:pPr>
        <w:spacing w:line="240" w:lineRule="auto"/>
        <w:rPr>
          <w:sz w:val="56"/>
          <w:szCs w:val="48"/>
        </w:rPr>
      </w:pPr>
    </w:p>
    <w:p w14:paraId="50335DE9" w14:textId="77777777" w:rsidR="00EC06B1" w:rsidRPr="00CA1888" w:rsidRDefault="00EC06B1" w:rsidP="00EC06B1">
      <w:pPr>
        <w:spacing w:line="240" w:lineRule="auto"/>
        <w:rPr>
          <w:b/>
          <w:sz w:val="56"/>
          <w:szCs w:val="48"/>
        </w:rPr>
      </w:pPr>
      <w:r>
        <w:rPr>
          <w:b/>
          <w:sz w:val="56"/>
          <w:szCs w:val="48"/>
        </w:rPr>
        <w:t>ASIIN-Akkreditierungsbericht</w:t>
      </w:r>
    </w:p>
    <w:p w14:paraId="5DA68F6E" w14:textId="77777777" w:rsidR="00EC06B1" w:rsidRPr="00CA1888" w:rsidRDefault="00EC06B1" w:rsidP="00EC06B1">
      <w:pPr>
        <w:spacing w:line="240" w:lineRule="auto"/>
        <w:rPr>
          <w:sz w:val="40"/>
          <w:szCs w:val="48"/>
        </w:rPr>
      </w:pPr>
    </w:p>
    <w:p w14:paraId="59D95C5B" w14:textId="77777777" w:rsidR="00EC06B1" w:rsidRPr="00CA1888" w:rsidRDefault="00EC06B1" w:rsidP="00EC06B1">
      <w:pPr>
        <w:spacing w:line="240" w:lineRule="auto"/>
        <w:rPr>
          <w:sz w:val="40"/>
          <w:szCs w:val="48"/>
        </w:rPr>
      </w:pPr>
    </w:p>
    <w:p w14:paraId="02B8F065" w14:textId="77777777" w:rsidR="00EC06B1" w:rsidRPr="00CA1888" w:rsidRDefault="00EC06B1" w:rsidP="00EC06B1">
      <w:pPr>
        <w:spacing w:line="240" w:lineRule="auto"/>
        <w:rPr>
          <w:b/>
          <w:sz w:val="40"/>
          <w:szCs w:val="48"/>
        </w:rPr>
      </w:pPr>
      <w:r w:rsidRPr="00CA1888">
        <w:rPr>
          <w:b/>
          <w:sz w:val="40"/>
          <w:szCs w:val="48"/>
        </w:rPr>
        <w:t>Masterstudiengang</w:t>
      </w:r>
    </w:p>
    <w:p w14:paraId="0BEB044C" w14:textId="77777777" w:rsidR="00EC06B1" w:rsidRPr="00CA1888" w:rsidRDefault="004A7FD7" w:rsidP="00EC06B1">
      <w:pPr>
        <w:spacing w:line="240" w:lineRule="auto"/>
        <w:rPr>
          <w:sz w:val="40"/>
          <w:szCs w:val="48"/>
        </w:rPr>
      </w:pPr>
      <w:r>
        <w:rPr>
          <w:b/>
          <w:i/>
          <w:sz w:val="40"/>
          <w:szCs w:val="48"/>
        </w:rPr>
        <w:t xml:space="preserve">Micro- </w:t>
      </w:r>
      <w:proofErr w:type="spellStart"/>
      <w:r>
        <w:rPr>
          <w:b/>
          <w:i/>
          <w:sz w:val="40"/>
          <w:szCs w:val="48"/>
        </w:rPr>
        <w:t>and</w:t>
      </w:r>
      <w:proofErr w:type="spellEnd"/>
      <w:r>
        <w:rPr>
          <w:b/>
          <w:i/>
          <w:sz w:val="40"/>
          <w:szCs w:val="48"/>
        </w:rPr>
        <w:t xml:space="preserve"> </w:t>
      </w:r>
      <w:proofErr w:type="spellStart"/>
      <w:r>
        <w:rPr>
          <w:b/>
          <w:i/>
          <w:sz w:val="40"/>
          <w:szCs w:val="48"/>
        </w:rPr>
        <w:t>Nanoelectronics</w:t>
      </w:r>
      <w:proofErr w:type="spellEnd"/>
    </w:p>
    <w:p w14:paraId="52109487" w14:textId="77777777" w:rsidR="00EC06B1" w:rsidRPr="00CA1888" w:rsidRDefault="00EC06B1" w:rsidP="00EC06B1">
      <w:pPr>
        <w:spacing w:line="240" w:lineRule="auto"/>
        <w:rPr>
          <w:sz w:val="40"/>
          <w:szCs w:val="48"/>
        </w:rPr>
      </w:pPr>
    </w:p>
    <w:p w14:paraId="611EE35C" w14:textId="77777777" w:rsidR="00EC06B1" w:rsidRPr="00CA1888" w:rsidRDefault="00EC06B1" w:rsidP="00EC06B1">
      <w:pPr>
        <w:spacing w:line="240" w:lineRule="auto"/>
        <w:rPr>
          <w:sz w:val="40"/>
          <w:szCs w:val="48"/>
        </w:rPr>
      </w:pPr>
      <w:r w:rsidRPr="00CA1888">
        <w:rPr>
          <w:sz w:val="40"/>
          <w:szCs w:val="48"/>
        </w:rPr>
        <w:t>an der</w:t>
      </w:r>
    </w:p>
    <w:p w14:paraId="790539A7" w14:textId="77777777" w:rsidR="00EC06B1" w:rsidRPr="00CA1888" w:rsidRDefault="004A7FD7" w:rsidP="00EC06B1">
      <w:pPr>
        <w:spacing w:line="240" w:lineRule="auto"/>
        <w:rPr>
          <w:sz w:val="40"/>
          <w:szCs w:val="48"/>
        </w:rPr>
      </w:pPr>
      <w:r w:rsidRPr="004A7FD7">
        <w:rPr>
          <w:b/>
          <w:sz w:val="40"/>
          <w:szCs w:val="48"/>
        </w:rPr>
        <w:t>Brandenburgische</w:t>
      </w:r>
      <w:r>
        <w:rPr>
          <w:b/>
          <w:sz w:val="40"/>
          <w:szCs w:val="48"/>
        </w:rPr>
        <w:t>n</w:t>
      </w:r>
      <w:r w:rsidRPr="004A7FD7">
        <w:rPr>
          <w:b/>
          <w:sz w:val="40"/>
          <w:szCs w:val="48"/>
        </w:rPr>
        <w:t xml:space="preserve"> Technische</w:t>
      </w:r>
      <w:r>
        <w:rPr>
          <w:b/>
          <w:sz w:val="40"/>
          <w:szCs w:val="48"/>
        </w:rPr>
        <w:t>n</w:t>
      </w:r>
      <w:r w:rsidRPr="004A7FD7">
        <w:rPr>
          <w:b/>
          <w:sz w:val="40"/>
          <w:szCs w:val="48"/>
        </w:rPr>
        <w:t xml:space="preserve"> Universität Cottbus-Senftenberg</w:t>
      </w:r>
    </w:p>
    <w:p w14:paraId="5881B7D3" w14:textId="77777777" w:rsidR="00EC06B1" w:rsidRDefault="00EC06B1" w:rsidP="00EC06B1">
      <w:pPr>
        <w:spacing w:line="240" w:lineRule="auto"/>
        <w:rPr>
          <w:sz w:val="40"/>
          <w:szCs w:val="48"/>
        </w:rPr>
      </w:pPr>
    </w:p>
    <w:p w14:paraId="0375F2BF" w14:textId="77777777" w:rsidR="00EC06B1" w:rsidRPr="00CA1888" w:rsidRDefault="00EC06B1" w:rsidP="00EC06B1">
      <w:pPr>
        <w:spacing w:line="240" w:lineRule="auto"/>
        <w:rPr>
          <w:sz w:val="40"/>
          <w:szCs w:val="48"/>
        </w:rPr>
      </w:pPr>
    </w:p>
    <w:p w14:paraId="5EEE3BBD" w14:textId="77777777" w:rsidR="00EC06B1" w:rsidRPr="00CA1888" w:rsidRDefault="00EC06B1" w:rsidP="00EC06B1">
      <w:pPr>
        <w:spacing w:line="240" w:lineRule="auto"/>
        <w:rPr>
          <w:sz w:val="40"/>
          <w:szCs w:val="48"/>
        </w:rPr>
      </w:pPr>
    </w:p>
    <w:p w14:paraId="74769DE5" w14:textId="09C75743" w:rsidR="00EC06B1" w:rsidRDefault="00EC06B1" w:rsidP="00EC06B1">
      <w:r>
        <w:t xml:space="preserve">Stand: </w:t>
      </w:r>
      <w:r w:rsidR="00BA4FDF">
        <w:t>13</w:t>
      </w:r>
      <w:r w:rsidR="00D7610C">
        <w:t>.02.2025</w:t>
      </w:r>
    </w:p>
    <w:p w14:paraId="05944B0A" w14:textId="77777777" w:rsidR="00EC06B1" w:rsidRDefault="00EC06B1" w:rsidP="00EC06B1">
      <w:pPr>
        <w:sectPr w:rsidR="00EC06B1" w:rsidSect="005E3F70">
          <w:footerReference w:type="default" r:id="rId9"/>
          <w:footerReference w:type="first" r:id="rId10"/>
          <w:pgSz w:w="11906" w:h="16838" w:code="9"/>
          <w:pgMar w:top="1701" w:right="1134" w:bottom="1701" w:left="1985" w:header="992" w:footer="709" w:gutter="0"/>
          <w:cols w:space="708"/>
          <w:docGrid w:linePitch="360"/>
        </w:sectPr>
      </w:pPr>
    </w:p>
    <w:p w14:paraId="250F6107" w14:textId="77777777" w:rsidR="00493849" w:rsidRPr="00493849" w:rsidRDefault="00493849" w:rsidP="002530C2">
      <w:pPr>
        <w:spacing w:before="0" w:after="120"/>
        <w:rPr>
          <w:rFonts w:cs="Arial"/>
          <w:b/>
          <w:sz w:val="24"/>
        </w:rPr>
      </w:pPr>
      <w:r w:rsidRPr="00493849">
        <w:rPr>
          <w:rFonts w:cs="Arial"/>
          <w:b/>
          <w:sz w:val="24"/>
        </w:rPr>
        <w:lastRenderedPageBreak/>
        <w:t>Akkreditierungsbericht</w:t>
      </w:r>
    </w:p>
    <w:p w14:paraId="5A0A0B54" w14:textId="77777777" w:rsidR="002530C2" w:rsidRPr="004356C8" w:rsidRDefault="002530C2" w:rsidP="002530C2">
      <w:pPr>
        <w:spacing w:before="0" w:after="120"/>
        <w:rPr>
          <w:rFonts w:cs="Arial"/>
          <w:b/>
          <w:szCs w:val="22"/>
        </w:rPr>
      </w:pPr>
      <w:r w:rsidRPr="004356C8">
        <w:rPr>
          <w:rFonts w:cs="Arial"/>
          <w:b/>
          <w:szCs w:val="22"/>
        </w:rPr>
        <w:t>Programmakkreditierung – Einzelverfahren</w:t>
      </w:r>
    </w:p>
    <w:p w14:paraId="4E6181C9" w14:textId="77777777" w:rsidR="00091E5E" w:rsidRDefault="00BE0790" w:rsidP="00073147">
      <w:pPr>
        <w:spacing w:before="0"/>
        <w:rPr>
          <w:rFonts w:cs="Arial"/>
          <w:i/>
          <w:sz w:val="18"/>
          <w:szCs w:val="18"/>
        </w:rPr>
      </w:pPr>
      <w:r w:rsidRPr="00BE0790">
        <w:rPr>
          <w:rFonts w:cs="Arial"/>
          <w:i/>
          <w:sz w:val="18"/>
          <w:szCs w:val="18"/>
        </w:rPr>
        <w:t xml:space="preserve">Raster </w:t>
      </w:r>
      <w:r w:rsidR="00CA70BB" w:rsidRPr="00BE0790">
        <w:rPr>
          <w:rFonts w:cs="Arial"/>
          <w:i/>
          <w:sz w:val="18"/>
          <w:szCs w:val="18"/>
        </w:rPr>
        <w:t>Fassung</w:t>
      </w:r>
      <w:r w:rsidR="00E464D5">
        <w:rPr>
          <w:rFonts w:cs="Arial"/>
          <w:i/>
          <w:sz w:val="18"/>
          <w:szCs w:val="18"/>
        </w:rPr>
        <w:t xml:space="preserve"> </w:t>
      </w:r>
      <w:r w:rsidR="000E6869">
        <w:rPr>
          <w:rFonts w:cs="Arial"/>
          <w:i/>
          <w:sz w:val="18"/>
          <w:szCs w:val="18"/>
        </w:rPr>
        <w:t>02</w:t>
      </w:r>
      <w:r w:rsidR="000E6869" w:rsidRPr="00BE0790">
        <w:rPr>
          <w:rFonts w:cs="Arial"/>
          <w:i/>
          <w:sz w:val="18"/>
          <w:szCs w:val="18"/>
        </w:rPr>
        <w:t xml:space="preserve"> </w:t>
      </w:r>
      <w:r w:rsidR="00CA70BB" w:rsidRPr="00BE0790">
        <w:rPr>
          <w:rFonts w:cs="Arial"/>
          <w:i/>
          <w:sz w:val="18"/>
          <w:szCs w:val="18"/>
        </w:rPr>
        <w:t xml:space="preserve">– </w:t>
      </w:r>
      <w:r w:rsidR="00F23C41">
        <w:rPr>
          <w:rFonts w:cs="Arial"/>
          <w:i/>
          <w:sz w:val="18"/>
          <w:szCs w:val="18"/>
        </w:rPr>
        <w:t>04.03.2020</w:t>
      </w:r>
    </w:p>
    <w:p w14:paraId="0DBCE7EB" w14:textId="77777777" w:rsidR="005254F2" w:rsidRPr="00D64027" w:rsidRDefault="005254F2" w:rsidP="005D0998">
      <w:pPr>
        <w:spacing w:before="0"/>
        <w:rPr>
          <w:rFonts w:cs="Arial"/>
          <w:szCs w:val="22"/>
        </w:rPr>
      </w:pPr>
    </w:p>
    <w:p w14:paraId="2319EB6E" w14:textId="77777777" w:rsidR="001737CA" w:rsidRPr="005D0998" w:rsidRDefault="005D0998" w:rsidP="005D0998">
      <w:pPr>
        <w:spacing w:before="0"/>
        <w:rPr>
          <w:rStyle w:val="Hyperlink"/>
          <w:rFonts w:cs="Arial"/>
          <w:szCs w:val="22"/>
        </w:rPr>
      </w:pPr>
      <w:r>
        <w:rPr>
          <w:rFonts w:cs="Arial"/>
          <w:szCs w:val="22"/>
        </w:rPr>
        <w:fldChar w:fldCharType="begin"/>
      </w:r>
      <w:r>
        <w:rPr>
          <w:rFonts w:cs="Arial"/>
          <w:szCs w:val="22"/>
        </w:rPr>
        <w:instrText xml:space="preserve"> HYPERLINK  \l "Inhalt" </w:instrText>
      </w:r>
      <w:r>
        <w:rPr>
          <w:rFonts w:cs="Arial"/>
          <w:szCs w:val="22"/>
        </w:rPr>
        <w:fldChar w:fldCharType="separate"/>
      </w:r>
      <w:r w:rsidRPr="005D0998">
        <w:rPr>
          <w:rStyle w:val="Hyperlink"/>
          <w:rFonts w:cs="Arial"/>
          <w:szCs w:val="22"/>
        </w:rPr>
        <w:t xml:space="preserve">► </w:t>
      </w:r>
      <w:r w:rsidR="001737CA" w:rsidRPr="005D0998">
        <w:rPr>
          <w:rStyle w:val="Hyperlink"/>
          <w:rFonts w:cs="Arial"/>
          <w:szCs w:val="22"/>
        </w:rPr>
        <w:t>Inhaltsverzeichnis</w:t>
      </w:r>
    </w:p>
    <w:p w14:paraId="34699242" w14:textId="77777777" w:rsidR="00A67ABF" w:rsidRDefault="005D0998" w:rsidP="005D0998">
      <w:pPr>
        <w:spacing w:before="0"/>
        <w:rPr>
          <w:rFonts w:cs="Arial"/>
          <w:szCs w:val="22"/>
        </w:rPr>
      </w:pPr>
      <w:r>
        <w:rPr>
          <w:rFonts w:cs="Arial"/>
          <w:szCs w:val="22"/>
        </w:rPr>
        <w:fldChar w:fldCharType="end"/>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24"/>
        <w:gridCol w:w="849"/>
        <w:gridCol w:w="426"/>
        <w:gridCol w:w="850"/>
        <w:gridCol w:w="425"/>
        <w:gridCol w:w="1488"/>
        <w:gridCol w:w="213"/>
        <w:gridCol w:w="851"/>
        <w:gridCol w:w="425"/>
      </w:tblGrid>
      <w:tr w:rsidR="00C97395" w:rsidRPr="00884895" w14:paraId="22087E22" w14:textId="77777777" w:rsidTr="00A93DAA">
        <w:tc>
          <w:tcPr>
            <w:tcW w:w="3824" w:type="dxa"/>
          </w:tcPr>
          <w:p w14:paraId="511CC9C3" w14:textId="77777777" w:rsidR="00C97395" w:rsidRPr="00884895" w:rsidRDefault="00C97395" w:rsidP="00FD7EF8">
            <w:pPr>
              <w:spacing w:before="60" w:after="60" w:line="240" w:lineRule="auto"/>
              <w:jc w:val="left"/>
              <w:rPr>
                <w:rFonts w:cs="Arial"/>
                <w:sz w:val="20"/>
                <w:szCs w:val="20"/>
                <w:lang w:eastAsia="en-US"/>
              </w:rPr>
            </w:pPr>
            <w:r w:rsidRPr="00884895">
              <w:rPr>
                <w:rFonts w:cs="Arial"/>
                <w:sz w:val="20"/>
                <w:szCs w:val="20"/>
                <w:lang w:eastAsia="en-US"/>
              </w:rPr>
              <w:t>Hochschule</w:t>
            </w:r>
          </w:p>
        </w:tc>
        <w:tc>
          <w:tcPr>
            <w:tcW w:w="5527" w:type="dxa"/>
            <w:gridSpan w:val="8"/>
          </w:tcPr>
          <w:p w14:paraId="58752B3C" w14:textId="77777777" w:rsidR="00C97395" w:rsidRPr="00884895" w:rsidRDefault="004A7FD7" w:rsidP="00FD7EF8">
            <w:pPr>
              <w:spacing w:before="60" w:after="60" w:line="240" w:lineRule="auto"/>
              <w:rPr>
                <w:rFonts w:cs="Arial"/>
                <w:sz w:val="20"/>
                <w:szCs w:val="20"/>
                <w:lang w:eastAsia="en-US"/>
              </w:rPr>
            </w:pPr>
            <w:r>
              <w:rPr>
                <w:rFonts w:cs="Arial"/>
                <w:sz w:val="20"/>
                <w:szCs w:val="20"/>
                <w:lang w:eastAsia="en-US"/>
              </w:rPr>
              <w:t>Brandenburgische Technische</w:t>
            </w:r>
            <w:r w:rsidRPr="004A7FD7">
              <w:rPr>
                <w:rFonts w:cs="Arial"/>
                <w:sz w:val="20"/>
                <w:szCs w:val="20"/>
                <w:lang w:eastAsia="en-US"/>
              </w:rPr>
              <w:t xml:space="preserve"> Universität Cottbus-Senftenberg</w:t>
            </w:r>
          </w:p>
        </w:tc>
      </w:tr>
      <w:tr w:rsidR="00C97395" w:rsidRPr="00884895" w14:paraId="532F390F" w14:textId="77777777" w:rsidTr="00A93DAA">
        <w:tc>
          <w:tcPr>
            <w:tcW w:w="3824" w:type="dxa"/>
          </w:tcPr>
          <w:p w14:paraId="3ADB8FF4" w14:textId="77777777" w:rsidR="00C97395" w:rsidRPr="00884895" w:rsidRDefault="00C97395" w:rsidP="00FD7EF8">
            <w:pPr>
              <w:spacing w:before="60" w:after="60" w:line="240" w:lineRule="auto"/>
              <w:jc w:val="left"/>
              <w:rPr>
                <w:rFonts w:cs="Arial"/>
                <w:sz w:val="20"/>
                <w:szCs w:val="20"/>
                <w:lang w:eastAsia="en-US"/>
              </w:rPr>
            </w:pPr>
            <w:r w:rsidRPr="00884895">
              <w:rPr>
                <w:rFonts w:cs="Arial"/>
                <w:sz w:val="20"/>
                <w:szCs w:val="20"/>
                <w:lang w:eastAsia="en-US"/>
              </w:rPr>
              <w:t>Ggf. Standort</w:t>
            </w:r>
          </w:p>
        </w:tc>
        <w:tc>
          <w:tcPr>
            <w:tcW w:w="5527" w:type="dxa"/>
            <w:gridSpan w:val="8"/>
          </w:tcPr>
          <w:p w14:paraId="142E66EC" w14:textId="77777777" w:rsidR="00C97395" w:rsidRPr="00884895" w:rsidRDefault="004A7FD7" w:rsidP="00FD7EF8">
            <w:pPr>
              <w:spacing w:before="60" w:after="60" w:line="240" w:lineRule="auto"/>
              <w:rPr>
                <w:rFonts w:cs="Arial"/>
                <w:sz w:val="20"/>
                <w:szCs w:val="20"/>
                <w:lang w:eastAsia="en-US"/>
              </w:rPr>
            </w:pPr>
            <w:r w:rsidRPr="004A7FD7">
              <w:rPr>
                <w:rFonts w:cs="Arial"/>
                <w:sz w:val="20"/>
                <w:szCs w:val="20"/>
                <w:lang w:eastAsia="en-US"/>
              </w:rPr>
              <w:t>Zentralcampus Cottbus</w:t>
            </w:r>
          </w:p>
        </w:tc>
      </w:tr>
      <w:tr w:rsidR="00B612AD" w:rsidRPr="00884895" w14:paraId="79D51D9B" w14:textId="77777777" w:rsidTr="00A93DAA">
        <w:tc>
          <w:tcPr>
            <w:tcW w:w="3824" w:type="dxa"/>
          </w:tcPr>
          <w:p w14:paraId="55ACDFAC" w14:textId="77777777" w:rsidR="00B612AD" w:rsidRPr="00884895" w:rsidRDefault="00B612AD" w:rsidP="00B612AD">
            <w:pPr>
              <w:spacing w:before="60" w:after="60" w:line="240" w:lineRule="auto"/>
              <w:jc w:val="left"/>
              <w:rPr>
                <w:rFonts w:cs="Arial"/>
                <w:sz w:val="20"/>
                <w:szCs w:val="20"/>
                <w:lang w:eastAsia="en-US"/>
              </w:rPr>
            </w:pPr>
            <w:r w:rsidRPr="00884895">
              <w:rPr>
                <w:rFonts w:cs="Arial"/>
                <w:sz w:val="20"/>
                <w:szCs w:val="20"/>
                <w:lang w:eastAsia="en-US"/>
              </w:rPr>
              <w:t>Studiengang</w:t>
            </w:r>
          </w:p>
        </w:tc>
        <w:tc>
          <w:tcPr>
            <w:tcW w:w="5527" w:type="dxa"/>
            <w:gridSpan w:val="8"/>
          </w:tcPr>
          <w:p w14:paraId="640DA08D" w14:textId="77777777" w:rsidR="00B612AD" w:rsidRPr="00884895" w:rsidRDefault="004A7FD7" w:rsidP="00B612AD">
            <w:pPr>
              <w:spacing w:before="60" w:after="60" w:line="240" w:lineRule="auto"/>
              <w:rPr>
                <w:rFonts w:cs="Arial"/>
                <w:sz w:val="20"/>
                <w:szCs w:val="20"/>
                <w:lang w:eastAsia="en-US"/>
              </w:rPr>
            </w:pPr>
            <w:r w:rsidRPr="004A7FD7">
              <w:rPr>
                <w:rFonts w:cs="Arial"/>
                <w:i/>
                <w:sz w:val="20"/>
                <w:szCs w:val="20"/>
                <w:lang w:eastAsia="en-US"/>
              </w:rPr>
              <w:t xml:space="preserve">Micro- </w:t>
            </w:r>
            <w:proofErr w:type="spellStart"/>
            <w:r w:rsidRPr="004A7FD7">
              <w:rPr>
                <w:rFonts w:cs="Arial"/>
                <w:i/>
                <w:sz w:val="20"/>
                <w:szCs w:val="20"/>
                <w:lang w:eastAsia="en-US"/>
              </w:rPr>
              <w:t>and</w:t>
            </w:r>
            <w:proofErr w:type="spellEnd"/>
            <w:r w:rsidRPr="004A7FD7">
              <w:rPr>
                <w:rFonts w:cs="Arial"/>
                <w:i/>
                <w:sz w:val="20"/>
                <w:szCs w:val="20"/>
                <w:lang w:eastAsia="en-US"/>
              </w:rPr>
              <w:t xml:space="preserve"> </w:t>
            </w:r>
            <w:proofErr w:type="spellStart"/>
            <w:r w:rsidRPr="004A7FD7">
              <w:rPr>
                <w:rFonts w:cs="Arial"/>
                <w:i/>
                <w:sz w:val="20"/>
                <w:szCs w:val="20"/>
                <w:lang w:eastAsia="en-US"/>
              </w:rPr>
              <w:t>Nanoelectronics</w:t>
            </w:r>
            <w:proofErr w:type="spellEnd"/>
          </w:p>
        </w:tc>
      </w:tr>
      <w:tr w:rsidR="00B612AD" w:rsidRPr="00884895" w14:paraId="32CDE9E2" w14:textId="77777777" w:rsidTr="00A93DAA">
        <w:tc>
          <w:tcPr>
            <w:tcW w:w="3824" w:type="dxa"/>
          </w:tcPr>
          <w:p w14:paraId="7FDDC215" w14:textId="77777777" w:rsidR="00B612AD" w:rsidRPr="00884895" w:rsidRDefault="00B612AD" w:rsidP="00B612AD">
            <w:pPr>
              <w:spacing w:before="60" w:after="60" w:line="240" w:lineRule="auto"/>
              <w:jc w:val="left"/>
              <w:rPr>
                <w:rFonts w:cs="Arial"/>
                <w:sz w:val="20"/>
                <w:szCs w:val="20"/>
                <w:lang w:eastAsia="en-US"/>
              </w:rPr>
            </w:pPr>
            <w:r w:rsidRPr="00884895">
              <w:rPr>
                <w:rFonts w:cs="Arial"/>
                <w:sz w:val="20"/>
                <w:szCs w:val="20"/>
                <w:lang w:eastAsia="en-US"/>
              </w:rPr>
              <w:t>Abschlussbezeichnung</w:t>
            </w:r>
          </w:p>
        </w:tc>
        <w:tc>
          <w:tcPr>
            <w:tcW w:w="5527" w:type="dxa"/>
            <w:gridSpan w:val="8"/>
          </w:tcPr>
          <w:p w14:paraId="796BACB7" w14:textId="77777777" w:rsidR="00B612AD" w:rsidRPr="00884895" w:rsidRDefault="004A7FD7" w:rsidP="00B612AD">
            <w:pPr>
              <w:spacing w:before="60" w:after="60" w:line="240" w:lineRule="auto"/>
              <w:rPr>
                <w:rFonts w:cs="Arial"/>
                <w:sz w:val="20"/>
                <w:szCs w:val="20"/>
                <w:lang w:eastAsia="en-US"/>
              </w:rPr>
            </w:pPr>
            <w:r>
              <w:rPr>
                <w:rFonts w:cs="Arial"/>
                <w:sz w:val="20"/>
                <w:szCs w:val="20"/>
                <w:lang w:eastAsia="en-US"/>
              </w:rPr>
              <w:t>Master of Science</w:t>
            </w:r>
          </w:p>
        </w:tc>
      </w:tr>
      <w:tr w:rsidR="00B612AD" w:rsidRPr="00A67ABF" w14:paraId="3F9A36B7" w14:textId="77777777" w:rsidTr="00D2241F">
        <w:tc>
          <w:tcPr>
            <w:tcW w:w="3824" w:type="dxa"/>
            <w:vMerge w:val="restart"/>
          </w:tcPr>
          <w:p w14:paraId="20925141" w14:textId="77777777" w:rsidR="00B612AD" w:rsidRPr="00A67ABF" w:rsidRDefault="00B612AD" w:rsidP="00B612AD">
            <w:pPr>
              <w:spacing w:before="60" w:after="60" w:line="240" w:lineRule="auto"/>
              <w:jc w:val="left"/>
              <w:rPr>
                <w:rFonts w:cs="Arial"/>
                <w:sz w:val="20"/>
                <w:szCs w:val="20"/>
                <w:lang w:eastAsia="en-US"/>
              </w:rPr>
            </w:pPr>
            <w:r w:rsidRPr="00A67ABF">
              <w:rPr>
                <w:rFonts w:cs="Arial"/>
                <w:sz w:val="20"/>
                <w:szCs w:val="20"/>
                <w:lang w:eastAsia="en-US"/>
              </w:rPr>
              <w:t>Studienform</w:t>
            </w:r>
          </w:p>
        </w:tc>
        <w:tc>
          <w:tcPr>
            <w:tcW w:w="2125" w:type="dxa"/>
            <w:gridSpan w:val="3"/>
            <w:tcBorders>
              <w:bottom w:val="single" w:sz="4" w:space="0" w:color="BFBFBF" w:themeColor="background1" w:themeShade="BF"/>
              <w:right w:val="nil"/>
            </w:tcBorders>
          </w:tcPr>
          <w:p w14:paraId="2843EF66" w14:textId="77777777"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Präsenz</w:t>
            </w:r>
          </w:p>
        </w:tc>
        <w:tc>
          <w:tcPr>
            <w:tcW w:w="425" w:type="dxa"/>
            <w:tcBorders>
              <w:left w:val="nil"/>
            </w:tcBorders>
          </w:tcPr>
          <w:sdt>
            <w:sdtPr>
              <w:rPr>
                <w:rFonts w:cs="Arial"/>
                <w:sz w:val="20"/>
                <w:szCs w:val="20"/>
                <w:lang w:eastAsia="en-US"/>
              </w:rPr>
              <w:id w:val="1398869836"/>
              <w14:checkbox>
                <w14:checked w14:val="1"/>
                <w14:checkedState w14:val="2612" w14:font="MS Gothic"/>
                <w14:uncheckedState w14:val="2610" w14:font="MS Gothic"/>
              </w14:checkbox>
            </w:sdtPr>
            <w:sdtContent>
              <w:p w14:paraId="5143EC27" w14:textId="77777777" w:rsidR="00B612AD" w:rsidRPr="00A67ABF" w:rsidRDefault="004A7FD7" w:rsidP="00B612AD">
                <w:pPr>
                  <w:spacing w:before="60" w:after="60" w:line="240" w:lineRule="auto"/>
                  <w:rPr>
                    <w:rFonts w:cs="Arial"/>
                    <w:sz w:val="20"/>
                    <w:szCs w:val="20"/>
                    <w:lang w:eastAsia="en-US"/>
                  </w:rPr>
                </w:pPr>
                <w:r>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35C774AD" w14:textId="77777777"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Fernstudium</w:t>
            </w:r>
          </w:p>
        </w:tc>
        <w:tc>
          <w:tcPr>
            <w:tcW w:w="425" w:type="dxa"/>
            <w:tcBorders>
              <w:left w:val="nil"/>
            </w:tcBorders>
          </w:tcPr>
          <w:sdt>
            <w:sdtPr>
              <w:rPr>
                <w:rFonts w:cs="Arial"/>
                <w:sz w:val="20"/>
                <w:szCs w:val="20"/>
                <w:lang w:eastAsia="en-US"/>
              </w:rPr>
              <w:id w:val="919220961"/>
              <w14:checkbox>
                <w14:checked w14:val="0"/>
                <w14:checkedState w14:val="2612" w14:font="MS Gothic"/>
                <w14:uncheckedState w14:val="2610" w14:font="MS Gothic"/>
              </w14:checkbox>
            </w:sdtPr>
            <w:sdtContent>
              <w:p w14:paraId="3FD3E8E4" w14:textId="77777777"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7A4687C3" w14:textId="77777777" w:rsidTr="00D2241F">
        <w:tc>
          <w:tcPr>
            <w:tcW w:w="3824" w:type="dxa"/>
            <w:vMerge/>
          </w:tcPr>
          <w:p w14:paraId="1A31D3B0" w14:textId="77777777" w:rsidR="00B612AD" w:rsidRPr="00A67ABF" w:rsidRDefault="00B612AD" w:rsidP="00B612AD">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0492CC2D" w14:textId="77777777"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Vollzeit</w:t>
            </w:r>
          </w:p>
        </w:tc>
        <w:tc>
          <w:tcPr>
            <w:tcW w:w="425" w:type="dxa"/>
            <w:tcBorders>
              <w:left w:val="nil"/>
            </w:tcBorders>
          </w:tcPr>
          <w:sdt>
            <w:sdtPr>
              <w:rPr>
                <w:rFonts w:cs="Arial"/>
                <w:sz w:val="20"/>
                <w:szCs w:val="20"/>
                <w:lang w:eastAsia="en-US"/>
              </w:rPr>
              <w:id w:val="628357500"/>
              <w14:checkbox>
                <w14:checked w14:val="1"/>
                <w14:checkedState w14:val="2612" w14:font="MS Gothic"/>
                <w14:uncheckedState w14:val="2610" w14:font="MS Gothic"/>
              </w14:checkbox>
            </w:sdtPr>
            <w:sdtContent>
              <w:p w14:paraId="0EAF8788" w14:textId="77777777" w:rsidR="00B612AD" w:rsidRPr="00A67ABF" w:rsidRDefault="004A7FD7" w:rsidP="00B612AD">
                <w:pPr>
                  <w:spacing w:before="60" w:after="60" w:line="240" w:lineRule="auto"/>
                  <w:rPr>
                    <w:rFonts w:cs="Arial"/>
                    <w:sz w:val="20"/>
                    <w:szCs w:val="20"/>
                    <w:lang w:eastAsia="en-US"/>
                  </w:rPr>
                </w:pPr>
                <w:r>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7EEF342F" w14:textId="77777777"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Intensiv</w:t>
            </w:r>
          </w:p>
        </w:tc>
        <w:tc>
          <w:tcPr>
            <w:tcW w:w="425" w:type="dxa"/>
            <w:tcBorders>
              <w:left w:val="nil"/>
            </w:tcBorders>
          </w:tcPr>
          <w:sdt>
            <w:sdtPr>
              <w:rPr>
                <w:rFonts w:cs="Arial"/>
                <w:sz w:val="20"/>
                <w:szCs w:val="20"/>
                <w:lang w:eastAsia="en-US"/>
              </w:rPr>
              <w:id w:val="-1011133951"/>
              <w14:checkbox>
                <w14:checked w14:val="0"/>
                <w14:checkedState w14:val="2612" w14:font="MS Gothic"/>
                <w14:uncheckedState w14:val="2610" w14:font="MS Gothic"/>
              </w14:checkbox>
            </w:sdtPr>
            <w:sdtContent>
              <w:p w14:paraId="39B1EFBA" w14:textId="77777777"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419ED520" w14:textId="77777777" w:rsidTr="00D2241F">
        <w:tc>
          <w:tcPr>
            <w:tcW w:w="3824" w:type="dxa"/>
            <w:vMerge/>
          </w:tcPr>
          <w:p w14:paraId="7ED331D5" w14:textId="77777777" w:rsidR="00B612AD" w:rsidRPr="00A67ABF" w:rsidRDefault="00B612AD" w:rsidP="00B612AD">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072BAB19" w14:textId="77777777"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Teilzeit</w:t>
            </w:r>
          </w:p>
        </w:tc>
        <w:tc>
          <w:tcPr>
            <w:tcW w:w="425" w:type="dxa"/>
            <w:tcBorders>
              <w:left w:val="nil"/>
            </w:tcBorders>
          </w:tcPr>
          <w:sdt>
            <w:sdtPr>
              <w:rPr>
                <w:rFonts w:cs="Arial"/>
                <w:sz w:val="20"/>
                <w:szCs w:val="20"/>
                <w:lang w:eastAsia="en-US"/>
              </w:rPr>
              <w:id w:val="748552668"/>
              <w14:checkbox>
                <w14:checked w14:val="1"/>
                <w14:checkedState w14:val="2612" w14:font="MS Gothic"/>
                <w14:uncheckedState w14:val="2610" w14:font="MS Gothic"/>
              </w14:checkbox>
            </w:sdtPr>
            <w:sdtContent>
              <w:p w14:paraId="314F9528" w14:textId="77777777" w:rsidR="00B612AD" w:rsidRPr="00A67ABF" w:rsidRDefault="004A7FD7" w:rsidP="00B612AD">
                <w:pPr>
                  <w:spacing w:before="60" w:after="60" w:line="240" w:lineRule="auto"/>
                  <w:rPr>
                    <w:rFonts w:cs="Arial"/>
                    <w:sz w:val="20"/>
                    <w:szCs w:val="20"/>
                    <w:lang w:eastAsia="en-US"/>
                  </w:rPr>
                </w:pPr>
                <w:r>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5519E66A" w14:textId="77777777"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Joint Degree</w:t>
            </w:r>
          </w:p>
        </w:tc>
        <w:tc>
          <w:tcPr>
            <w:tcW w:w="425" w:type="dxa"/>
            <w:tcBorders>
              <w:left w:val="nil"/>
            </w:tcBorders>
          </w:tcPr>
          <w:sdt>
            <w:sdtPr>
              <w:rPr>
                <w:rFonts w:cs="Arial"/>
                <w:sz w:val="20"/>
                <w:szCs w:val="20"/>
                <w:lang w:eastAsia="en-US"/>
              </w:rPr>
              <w:id w:val="-1731003040"/>
              <w14:checkbox>
                <w14:checked w14:val="0"/>
                <w14:checkedState w14:val="2612" w14:font="MS Gothic"/>
                <w14:uncheckedState w14:val="2610" w14:font="MS Gothic"/>
              </w14:checkbox>
            </w:sdtPr>
            <w:sdtContent>
              <w:p w14:paraId="5DA943E7" w14:textId="77777777"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7D00A651" w14:textId="77777777" w:rsidTr="00D2241F">
        <w:tc>
          <w:tcPr>
            <w:tcW w:w="3824" w:type="dxa"/>
            <w:vMerge/>
          </w:tcPr>
          <w:p w14:paraId="05630F29" w14:textId="77777777" w:rsidR="00B612AD" w:rsidRPr="00A67ABF" w:rsidRDefault="00B612AD" w:rsidP="00B612AD">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444945E7" w14:textId="77777777"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Dual</w:t>
            </w:r>
          </w:p>
        </w:tc>
        <w:tc>
          <w:tcPr>
            <w:tcW w:w="425" w:type="dxa"/>
            <w:tcBorders>
              <w:left w:val="nil"/>
            </w:tcBorders>
          </w:tcPr>
          <w:sdt>
            <w:sdtPr>
              <w:rPr>
                <w:rFonts w:cs="Arial"/>
                <w:sz w:val="20"/>
                <w:szCs w:val="20"/>
                <w:lang w:eastAsia="en-US"/>
              </w:rPr>
              <w:id w:val="899407570"/>
              <w14:checkbox>
                <w14:checked w14:val="0"/>
                <w14:checkedState w14:val="2612" w14:font="MS Gothic"/>
                <w14:uncheckedState w14:val="2610" w14:font="MS Gothic"/>
              </w14:checkbox>
            </w:sdtPr>
            <w:sdtContent>
              <w:p w14:paraId="4A0B76A0" w14:textId="77777777"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right w:val="nil"/>
            </w:tcBorders>
          </w:tcPr>
          <w:p w14:paraId="34D2AB72" w14:textId="77777777"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 xml:space="preserve">Kooperation § 19 </w:t>
            </w:r>
            <w:proofErr w:type="spellStart"/>
            <w:r w:rsidR="00BD500A">
              <w:rPr>
                <w:rFonts w:cs="Arial"/>
                <w:sz w:val="20"/>
                <w:szCs w:val="20"/>
                <w:lang w:eastAsia="en-US"/>
              </w:rPr>
              <w:t>StudAkkV</w:t>
            </w:r>
            <w:proofErr w:type="spellEnd"/>
          </w:p>
        </w:tc>
        <w:tc>
          <w:tcPr>
            <w:tcW w:w="425" w:type="dxa"/>
            <w:tcBorders>
              <w:left w:val="nil"/>
            </w:tcBorders>
          </w:tcPr>
          <w:sdt>
            <w:sdtPr>
              <w:rPr>
                <w:rFonts w:cs="Arial"/>
                <w:sz w:val="20"/>
                <w:szCs w:val="20"/>
                <w:lang w:eastAsia="en-US"/>
              </w:rPr>
              <w:id w:val="216247545"/>
              <w14:checkbox>
                <w14:checked w14:val="0"/>
                <w14:checkedState w14:val="2612" w14:font="MS Gothic"/>
                <w14:uncheckedState w14:val="2610" w14:font="MS Gothic"/>
              </w14:checkbox>
            </w:sdtPr>
            <w:sdtContent>
              <w:p w14:paraId="11080DA8" w14:textId="77777777"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73A2D7B8" w14:textId="77777777" w:rsidTr="00D2241F">
        <w:tc>
          <w:tcPr>
            <w:tcW w:w="3824" w:type="dxa"/>
            <w:vMerge/>
          </w:tcPr>
          <w:p w14:paraId="1CF96BC9" w14:textId="77777777" w:rsidR="00B612AD" w:rsidRPr="00A67ABF" w:rsidRDefault="00B612AD" w:rsidP="00B612AD">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27A8C953" w14:textId="77777777"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Berufs- bzw. ausbildungsbegleitend</w:t>
            </w:r>
          </w:p>
        </w:tc>
        <w:tc>
          <w:tcPr>
            <w:tcW w:w="425" w:type="dxa"/>
            <w:tcBorders>
              <w:left w:val="nil"/>
              <w:bottom w:val="single" w:sz="4" w:space="0" w:color="BFBFBF" w:themeColor="background1" w:themeShade="BF"/>
            </w:tcBorders>
          </w:tcPr>
          <w:sdt>
            <w:sdtPr>
              <w:rPr>
                <w:rFonts w:cs="Arial"/>
                <w:sz w:val="20"/>
                <w:szCs w:val="20"/>
                <w:lang w:eastAsia="en-US"/>
              </w:rPr>
              <w:id w:val="2099047966"/>
              <w14:checkbox>
                <w14:checked w14:val="0"/>
                <w14:checkedState w14:val="2612" w14:font="MS Gothic"/>
                <w14:uncheckedState w14:val="2610" w14:font="MS Gothic"/>
              </w14:checkbox>
            </w:sdtPr>
            <w:sdtContent>
              <w:p w14:paraId="11403DB0" w14:textId="77777777"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right w:val="nil"/>
            </w:tcBorders>
          </w:tcPr>
          <w:p w14:paraId="688B35D1" w14:textId="77777777"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 xml:space="preserve">Kooperation § 20 </w:t>
            </w:r>
            <w:proofErr w:type="spellStart"/>
            <w:r w:rsidR="00BD500A">
              <w:rPr>
                <w:rFonts w:cs="Arial"/>
                <w:sz w:val="20"/>
                <w:szCs w:val="20"/>
                <w:lang w:eastAsia="en-US"/>
              </w:rPr>
              <w:t>StudAkkV</w:t>
            </w:r>
            <w:proofErr w:type="spellEnd"/>
          </w:p>
        </w:tc>
        <w:tc>
          <w:tcPr>
            <w:tcW w:w="425" w:type="dxa"/>
            <w:tcBorders>
              <w:left w:val="nil"/>
            </w:tcBorders>
          </w:tcPr>
          <w:sdt>
            <w:sdtPr>
              <w:rPr>
                <w:rFonts w:cs="Arial"/>
                <w:sz w:val="20"/>
                <w:szCs w:val="20"/>
                <w:lang w:eastAsia="en-US"/>
              </w:rPr>
              <w:id w:val="-1057464694"/>
              <w14:checkbox>
                <w14:checked w14:val="0"/>
                <w14:checkedState w14:val="2612" w14:font="MS Gothic"/>
                <w14:uncheckedState w14:val="2610" w14:font="MS Gothic"/>
              </w14:checkbox>
            </w:sdtPr>
            <w:sdtContent>
              <w:p w14:paraId="3F9C8B90" w14:textId="77777777"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7135F9" w14:paraId="7D85BB5E" w14:textId="77777777" w:rsidTr="00A902A6">
        <w:trPr>
          <w:trHeight w:val="279"/>
        </w:trPr>
        <w:tc>
          <w:tcPr>
            <w:tcW w:w="3824" w:type="dxa"/>
            <w:vAlign w:val="center"/>
          </w:tcPr>
          <w:p w14:paraId="493AA7D4" w14:textId="77777777" w:rsidR="00B612AD" w:rsidRPr="007135F9" w:rsidRDefault="00B612AD" w:rsidP="00B612AD">
            <w:pPr>
              <w:spacing w:before="60" w:after="60" w:line="240" w:lineRule="auto"/>
              <w:jc w:val="left"/>
              <w:rPr>
                <w:rFonts w:cs="Arial"/>
                <w:color w:val="000000" w:themeColor="text1"/>
                <w:sz w:val="20"/>
                <w:szCs w:val="20"/>
                <w:lang w:eastAsia="en-US"/>
              </w:rPr>
            </w:pPr>
            <w:r w:rsidRPr="007135F9">
              <w:rPr>
                <w:rFonts w:cs="Arial"/>
                <w:color w:val="000000" w:themeColor="text1"/>
                <w:sz w:val="20"/>
                <w:szCs w:val="20"/>
                <w:lang w:eastAsia="en-US"/>
              </w:rPr>
              <w:t>Studiendauer (in Semestern)</w:t>
            </w:r>
          </w:p>
        </w:tc>
        <w:tc>
          <w:tcPr>
            <w:tcW w:w="5527" w:type="dxa"/>
            <w:gridSpan w:val="8"/>
            <w:vAlign w:val="center"/>
          </w:tcPr>
          <w:p w14:paraId="6A453EC3" w14:textId="77777777" w:rsidR="00B612AD" w:rsidRPr="007135F9" w:rsidRDefault="004A7FD7" w:rsidP="00B612AD">
            <w:pPr>
              <w:spacing w:before="60" w:after="60" w:line="240" w:lineRule="auto"/>
              <w:rPr>
                <w:rFonts w:cs="Arial"/>
                <w:color w:val="000000" w:themeColor="text1"/>
                <w:sz w:val="20"/>
                <w:szCs w:val="20"/>
                <w:lang w:eastAsia="en-US"/>
              </w:rPr>
            </w:pPr>
            <w:r>
              <w:rPr>
                <w:rFonts w:cs="Arial"/>
                <w:color w:val="000000" w:themeColor="text1"/>
                <w:sz w:val="20"/>
                <w:szCs w:val="20"/>
                <w:lang w:eastAsia="en-US"/>
              </w:rPr>
              <w:t>4</w:t>
            </w:r>
          </w:p>
        </w:tc>
      </w:tr>
      <w:tr w:rsidR="00B612AD" w:rsidRPr="00884895" w14:paraId="1F8314C1" w14:textId="77777777" w:rsidTr="00A93DAA">
        <w:tc>
          <w:tcPr>
            <w:tcW w:w="3824" w:type="dxa"/>
          </w:tcPr>
          <w:p w14:paraId="0E720102" w14:textId="77777777" w:rsidR="00B612AD" w:rsidRPr="00884895" w:rsidRDefault="00B612AD" w:rsidP="00B612AD">
            <w:pPr>
              <w:spacing w:before="60" w:after="60" w:line="240" w:lineRule="auto"/>
              <w:jc w:val="left"/>
              <w:rPr>
                <w:rFonts w:cs="Arial"/>
                <w:sz w:val="20"/>
                <w:szCs w:val="20"/>
                <w:lang w:eastAsia="en-US"/>
              </w:rPr>
            </w:pPr>
            <w:r w:rsidRPr="00884895">
              <w:rPr>
                <w:rFonts w:cs="Arial"/>
                <w:sz w:val="20"/>
                <w:szCs w:val="20"/>
                <w:lang w:eastAsia="en-US"/>
              </w:rPr>
              <w:t>Anzahl der vergebenen ECTS-Punkte</w:t>
            </w:r>
          </w:p>
        </w:tc>
        <w:tc>
          <w:tcPr>
            <w:tcW w:w="5527" w:type="dxa"/>
            <w:gridSpan w:val="8"/>
          </w:tcPr>
          <w:p w14:paraId="469D66F1" w14:textId="77777777" w:rsidR="00B612AD" w:rsidRPr="00884895" w:rsidRDefault="004A7FD7" w:rsidP="00B612AD">
            <w:pPr>
              <w:spacing w:before="60" w:after="60" w:line="240" w:lineRule="auto"/>
              <w:rPr>
                <w:rFonts w:cs="Arial"/>
                <w:sz w:val="20"/>
                <w:szCs w:val="20"/>
                <w:lang w:eastAsia="en-US"/>
              </w:rPr>
            </w:pPr>
            <w:r>
              <w:rPr>
                <w:rFonts w:cs="Arial"/>
                <w:sz w:val="20"/>
                <w:szCs w:val="20"/>
                <w:lang w:eastAsia="en-US"/>
              </w:rPr>
              <w:t>120</w:t>
            </w:r>
          </w:p>
        </w:tc>
      </w:tr>
      <w:tr w:rsidR="00B612AD" w:rsidRPr="00884895" w14:paraId="7F02AB1B" w14:textId="77777777" w:rsidTr="00BC54D6">
        <w:tc>
          <w:tcPr>
            <w:tcW w:w="3824" w:type="dxa"/>
          </w:tcPr>
          <w:p w14:paraId="02BFE47E" w14:textId="77777777" w:rsidR="00B612AD" w:rsidRPr="00884895" w:rsidRDefault="00B612AD" w:rsidP="00B612AD">
            <w:pPr>
              <w:spacing w:before="60" w:after="60" w:line="240" w:lineRule="auto"/>
              <w:jc w:val="left"/>
              <w:rPr>
                <w:rFonts w:cs="Arial"/>
                <w:sz w:val="20"/>
                <w:szCs w:val="20"/>
                <w:lang w:eastAsia="en-US"/>
              </w:rPr>
            </w:pPr>
            <w:r w:rsidRPr="00884895">
              <w:rPr>
                <w:rFonts w:cs="Arial"/>
                <w:sz w:val="20"/>
                <w:szCs w:val="20"/>
                <w:lang w:eastAsia="en-US"/>
              </w:rPr>
              <w:t>Bei Master</w:t>
            </w:r>
            <w:r>
              <w:rPr>
                <w:rFonts w:cs="Arial"/>
                <w:sz w:val="20"/>
                <w:szCs w:val="20"/>
                <w:lang w:eastAsia="en-US"/>
              </w:rPr>
              <w:t>programmen</w:t>
            </w:r>
            <w:r w:rsidRPr="00884895">
              <w:rPr>
                <w:rFonts w:cs="Arial"/>
                <w:sz w:val="20"/>
                <w:szCs w:val="20"/>
                <w:lang w:eastAsia="en-US"/>
              </w:rPr>
              <w:t>:</w:t>
            </w:r>
          </w:p>
        </w:tc>
        <w:tc>
          <w:tcPr>
            <w:tcW w:w="1275" w:type="dxa"/>
            <w:gridSpan w:val="2"/>
            <w:tcBorders>
              <w:right w:val="nil"/>
            </w:tcBorders>
          </w:tcPr>
          <w:p w14:paraId="16AD67FA" w14:textId="77777777" w:rsidR="00B612AD" w:rsidRPr="00884895" w:rsidRDefault="00B612AD" w:rsidP="00B612AD">
            <w:pPr>
              <w:spacing w:before="60" w:after="60" w:line="240" w:lineRule="auto"/>
              <w:rPr>
                <w:rFonts w:cs="Arial"/>
                <w:sz w:val="20"/>
                <w:szCs w:val="20"/>
                <w:lang w:eastAsia="en-US"/>
              </w:rPr>
            </w:pPr>
            <w:r>
              <w:rPr>
                <w:rFonts w:cs="Arial"/>
                <w:sz w:val="20"/>
                <w:szCs w:val="20"/>
                <w:lang w:eastAsia="en-US"/>
              </w:rPr>
              <w:t>konsekutiv</w:t>
            </w:r>
          </w:p>
        </w:tc>
        <w:tc>
          <w:tcPr>
            <w:tcW w:w="1275" w:type="dxa"/>
            <w:gridSpan w:val="2"/>
            <w:tcBorders>
              <w:left w:val="nil"/>
            </w:tcBorders>
          </w:tcPr>
          <w:p w14:paraId="157AB020" w14:textId="77777777" w:rsidR="00B612AD" w:rsidRPr="00884895" w:rsidRDefault="00F33389" w:rsidP="00B612AD">
            <w:pPr>
              <w:spacing w:before="60" w:after="60" w:line="240" w:lineRule="auto"/>
              <w:jc w:val="right"/>
              <w:rPr>
                <w:rFonts w:cs="Arial"/>
                <w:sz w:val="20"/>
                <w:szCs w:val="20"/>
                <w:lang w:eastAsia="en-US"/>
              </w:rPr>
            </w:pPr>
            <w:sdt>
              <w:sdtPr>
                <w:rPr>
                  <w:rFonts w:cs="Arial"/>
                  <w:sz w:val="20"/>
                  <w:szCs w:val="20"/>
                  <w:lang w:eastAsia="en-US"/>
                </w:rPr>
                <w:id w:val="2102521344"/>
                <w14:checkbox>
                  <w14:checked w14:val="1"/>
                  <w14:checkedState w14:val="2612" w14:font="MS Gothic"/>
                  <w14:uncheckedState w14:val="2610" w14:font="MS Gothic"/>
                </w14:checkbox>
              </w:sdtPr>
              <w:sdtContent>
                <w:r w:rsidR="004A7FD7">
                  <w:rPr>
                    <w:rFonts w:ascii="MS Gothic" w:eastAsia="MS Gothic" w:hAnsi="MS Gothic" w:cs="Arial" w:hint="eastAsia"/>
                    <w:sz w:val="20"/>
                    <w:szCs w:val="20"/>
                    <w:lang w:eastAsia="en-US"/>
                  </w:rPr>
                  <w:t>☒</w:t>
                </w:r>
              </w:sdtContent>
            </w:sdt>
          </w:p>
        </w:tc>
        <w:tc>
          <w:tcPr>
            <w:tcW w:w="1488" w:type="dxa"/>
            <w:tcBorders>
              <w:right w:val="nil"/>
            </w:tcBorders>
          </w:tcPr>
          <w:p w14:paraId="1EC37EFD" w14:textId="77777777" w:rsidR="00B612AD" w:rsidRPr="00884895" w:rsidRDefault="00B612AD" w:rsidP="00B612AD">
            <w:pPr>
              <w:spacing w:before="60" w:after="60" w:line="240" w:lineRule="auto"/>
              <w:rPr>
                <w:rFonts w:cs="Arial"/>
                <w:sz w:val="20"/>
                <w:szCs w:val="20"/>
                <w:lang w:eastAsia="en-US"/>
              </w:rPr>
            </w:pPr>
            <w:r>
              <w:rPr>
                <w:rFonts w:cs="Arial"/>
                <w:sz w:val="20"/>
                <w:szCs w:val="20"/>
                <w:lang w:eastAsia="en-US"/>
              </w:rPr>
              <w:t>weiterbildend</w:t>
            </w:r>
            <w:r w:rsidRPr="00A67ABF">
              <w:rPr>
                <w:rFonts w:cs="Arial"/>
                <w:sz w:val="20"/>
                <w:szCs w:val="20"/>
                <w:lang w:eastAsia="en-US"/>
              </w:rPr>
              <w:t xml:space="preserve"> </w:t>
            </w:r>
          </w:p>
        </w:tc>
        <w:tc>
          <w:tcPr>
            <w:tcW w:w="1489" w:type="dxa"/>
            <w:gridSpan w:val="3"/>
            <w:tcBorders>
              <w:left w:val="nil"/>
            </w:tcBorders>
          </w:tcPr>
          <w:p w14:paraId="4CEB6EB3" w14:textId="77777777" w:rsidR="00B612AD" w:rsidRPr="00884895" w:rsidRDefault="00F33389" w:rsidP="00B612AD">
            <w:pPr>
              <w:spacing w:before="60" w:after="60" w:line="240" w:lineRule="auto"/>
              <w:jc w:val="right"/>
              <w:rPr>
                <w:rFonts w:cs="Arial"/>
                <w:sz w:val="20"/>
                <w:szCs w:val="20"/>
                <w:lang w:eastAsia="en-US"/>
              </w:rPr>
            </w:pPr>
            <w:sdt>
              <w:sdtPr>
                <w:rPr>
                  <w:rFonts w:cs="Arial"/>
                  <w:sz w:val="20"/>
                  <w:szCs w:val="20"/>
                  <w:lang w:eastAsia="en-US"/>
                </w:rPr>
                <w:id w:val="-2105252283"/>
                <w14:checkbox>
                  <w14:checked w14:val="0"/>
                  <w14:checkedState w14:val="2612" w14:font="MS Gothic"/>
                  <w14:uncheckedState w14:val="2610" w14:font="MS Gothic"/>
                </w14:checkbox>
              </w:sdtPr>
              <w:sdtContent>
                <w:r w:rsidR="00EA1714">
                  <w:rPr>
                    <w:rFonts w:ascii="MS Gothic" w:eastAsia="MS Gothic" w:hAnsi="MS Gothic" w:cs="Arial" w:hint="eastAsia"/>
                    <w:sz w:val="20"/>
                    <w:szCs w:val="20"/>
                    <w:lang w:eastAsia="en-US"/>
                  </w:rPr>
                  <w:t>☐</w:t>
                </w:r>
              </w:sdtContent>
            </w:sdt>
          </w:p>
        </w:tc>
      </w:tr>
      <w:tr w:rsidR="00B612AD" w:rsidRPr="00884895" w14:paraId="54DF2287" w14:textId="77777777" w:rsidTr="00A93DAA">
        <w:tc>
          <w:tcPr>
            <w:tcW w:w="3824" w:type="dxa"/>
          </w:tcPr>
          <w:p w14:paraId="246B2219" w14:textId="77777777" w:rsidR="00B612AD" w:rsidRDefault="00B612AD" w:rsidP="00B612AD">
            <w:pPr>
              <w:spacing w:before="60" w:after="60" w:line="240" w:lineRule="auto"/>
              <w:jc w:val="left"/>
              <w:rPr>
                <w:rFonts w:cs="Arial"/>
                <w:sz w:val="20"/>
                <w:szCs w:val="20"/>
                <w:lang w:eastAsia="en-US"/>
              </w:rPr>
            </w:pPr>
            <w:r w:rsidRPr="00884895">
              <w:rPr>
                <w:rFonts w:cs="Arial"/>
                <w:sz w:val="20"/>
                <w:szCs w:val="20"/>
                <w:lang w:eastAsia="en-US"/>
              </w:rPr>
              <w:t xml:space="preserve">Aufnahme des Studienbetriebs </w:t>
            </w:r>
            <w:r>
              <w:rPr>
                <w:rFonts w:cs="Arial"/>
                <w:sz w:val="20"/>
                <w:szCs w:val="20"/>
                <w:lang w:eastAsia="en-US"/>
              </w:rPr>
              <w:t>am</w:t>
            </w:r>
          </w:p>
          <w:p w14:paraId="3D07D327" w14:textId="77777777" w:rsidR="00B612AD" w:rsidRPr="00884895" w:rsidRDefault="00B612AD" w:rsidP="00B612AD">
            <w:pPr>
              <w:spacing w:before="60" w:after="60" w:line="240" w:lineRule="auto"/>
              <w:jc w:val="left"/>
              <w:rPr>
                <w:rFonts w:cs="Arial"/>
                <w:sz w:val="20"/>
                <w:szCs w:val="20"/>
                <w:lang w:eastAsia="en-US"/>
              </w:rPr>
            </w:pPr>
            <w:r w:rsidRPr="00884895">
              <w:rPr>
                <w:rFonts w:cs="Arial"/>
                <w:sz w:val="20"/>
                <w:szCs w:val="20"/>
                <w:lang w:eastAsia="en-US"/>
              </w:rPr>
              <w:t>(Datum)</w:t>
            </w:r>
          </w:p>
        </w:tc>
        <w:tc>
          <w:tcPr>
            <w:tcW w:w="5527" w:type="dxa"/>
            <w:gridSpan w:val="8"/>
          </w:tcPr>
          <w:p w14:paraId="703C503D" w14:textId="77777777" w:rsidR="00B612AD" w:rsidRPr="00884895" w:rsidRDefault="004A7FD7" w:rsidP="00B612AD">
            <w:pPr>
              <w:spacing w:before="60" w:after="60" w:line="240" w:lineRule="auto"/>
              <w:rPr>
                <w:rFonts w:cs="Arial"/>
                <w:sz w:val="20"/>
                <w:szCs w:val="20"/>
                <w:lang w:eastAsia="en-US"/>
              </w:rPr>
            </w:pPr>
            <w:proofErr w:type="spellStart"/>
            <w:r w:rsidRPr="004A7FD7">
              <w:rPr>
                <w:rFonts w:cs="Arial"/>
                <w:sz w:val="20"/>
                <w:szCs w:val="20"/>
                <w:lang w:eastAsia="en-US"/>
              </w:rPr>
              <w:t>WiSe</w:t>
            </w:r>
            <w:proofErr w:type="spellEnd"/>
            <w:r w:rsidRPr="004A7FD7">
              <w:rPr>
                <w:rFonts w:cs="Arial"/>
                <w:sz w:val="20"/>
                <w:szCs w:val="20"/>
                <w:lang w:eastAsia="en-US"/>
              </w:rPr>
              <w:t xml:space="preserve"> 2024/2025</w:t>
            </w:r>
          </w:p>
        </w:tc>
      </w:tr>
      <w:tr w:rsidR="00B612AD" w:rsidRPr="00884895" w14:paraId="7B975378" w14:textId="77777777" w:rsidTr="005D0998">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3C8451" w14:textId="77777777" w:rsidR="00B612AD" w:rsidRPr="00267434" w:rsidRDefault="00B612AD" w:rsidP="00B612AD">
            <w:pPr>
              <w:spacing w:before="60" w:after="60" w:line="240" w:lineRule="auto"/>
              <w:jc w:val="left"/>
              <w:rPr>
                <w:rFonts w:cs="Arial"/>
                <w:sz w:val="20"/>
                <w:szCs w:val="20"/>
                <w:lang w:eastAsia="en-US"/>
              </w:rPr>
            </w:pPr>
            <w:r w:rsidRPr="00267434">
              <w:rPr>
                <w:rFonts w:cs="Arial"/>
                <w:sz w:val="20"/>
                <w:szCs w:val="20"/>
                <w:lang w:eastAsia="en-US"/>
              </w:rPr>
              <w:t>Aufnahmekapazität</w:t>
            </w:r>
          </w:p>
          <w:p w14:paraId="1FACC0CA" w14:textId="77777777" w:rsidR="00B612AD" w:rsidRPr="00884895" w:rsidRDefault="00B612AD" w:rsidP="00B612AD">
            <w:pPr>
              <w:spacing w:before="60" w:after="60" w:line="240" w:lineRule="auto"/>
              <w:jc w:val="left"/>
              <w:rPr>
                <w:rFonts w:cs="Arial"/>
                <w:sz w:val="20"/>
                <w:szCs w:val="20"/>
                <w:lang w:eastAsia="en-US"/>
              </w:rPr>
            </w:pPr>
            <w:r w:rsidRPr="00267434">
              <w:rPr>
                <w:rFonts w:cs="Arial"/>
                <w:sz w:val="20"/>
                <w:szCs w:val="20"/>
                <w:lang w:eastAsia="en-US"/>
              </w:rPr>
              <w:t>(Max</w:t>
            </w:r>
            <w:r>
              <w:rPr>
                <w:rFonts w:cs="Arial"/>
                <w:sz w:val="20"/>
                <w:szCs w:val="20"/>
                <w:lang w:eastAsia="en-US"/>
              </w:rPr>
              <w:t>imale</w:t>
            </w:r>
            <w:r w:rsidRPr="00267434">
              <w:rPr>
                <w:rFonts w:cs="Arial"/>
                <w:sz w:val="20"/>
                <w:szCs w:val="20"/>
                <w:lang w:eastAsia="en-US"/>
              </w:rPr>
              <w:t xml:space="preserve"> Anzahl </w:t>
            </w:r>
            <w:r>
              <w:rPr>
                <w:rFonts w:cs="Arial"/>
                <w:sz w:val="20"/>
                <w:szCs w:val="20"/>
                <w:lang w:eastAsia="en-US"/>
              </w:rPr>
              <w:t xml:space="preserve">der </w:t>
            </w:r>
            <w:r w:rsidRPr="00267434">
              <w:rPr>
                <w:rFonts w:cs="Arial"/>
                <w:sz w:val="20"/>
                <w:szCs w:val="20"/>
                <w:lang w:eastAsia="en-US"/>
              </w:rPr>
              <w:t>Studie</w:t>
            </w:r>
            <w:r>
              <w:rPr>
                <w:rFonts w:cs="Arial"/>
                <w:sz w:val="20"/>
                <w:szCs w:val="20"/>
                <w:lang w:eastAsia="en-US"/>
              </w:rPr>
              <w:t>nplätze</w:t>
            </w:r>
            <w:r w:rsidRPr="00267434">
              <w:rPr>
                <w:rFonts w:cs="Arial"/>
                <w:sz w:val="20"/>
                <w:szCs w:val="20"/>
                <w:lang w:eastAsia="en-US"/>
              </w:rPr>
              <w:t>)</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6CC30D" w14:textId="77777777" w:rsidR="00B612AD" w:rsidRPr="00884895" w:rsidRDefault="004A7FD7" w:rsidP="00B612AD">
            <w:pPr>
              <w:spacing w:before="60" w:after="60" w:line="240" w:lineRule="auto"/>
              <w:rPr>
                <w:rFonts w:cs="Arial"/>
                <w:sz w:val="20"/>
                <w:szCs w:val="20"/>
                <w:lang w:eastAsia="en-US"/>
              </w:rPr>
            </w:pPr>
            <w:r>
              <w:rPr>
                <w:rFonts w:cs="Arial"/>
                <w:sz w:val="20"/>
                <w:szCs w:val="20"/>
                <w:lang w:eastAsia="en-US"/>
              </w:rPr>
              <w:t>25</w:t>
            </w: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04839002" w14:textId="77777777" w:rsidR="00B612AD" w:rsidRPr="00884895" w:rsidRDefault="00B612AD" w:rsidP="00B612AD">
            <w:pPr>
              <w:spacing w:before="60" w:after="60" w:line="240" w:lineRule="auto"/>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1280258555"/>
                <w14:checkbox>
                  <w14:checked w14:val="0"/>
                  <w14:checkedState w14:val="2612" w14:font="MS Gothic"/>
                  <w14:uncheckedState w14:val="2610" w14:font="MS Gothic"/>
                </w14:checkbox>
              </w:sdtPr>
              <w:sdtContent>
                <w:r>
                  <w:rPr>
                    <w:rFonts w:ascii="MS Gothic" w:eastAsia="MS Gothic" w:hAnsi="MS Gothic" w:cs="Arial" w:hint="eastAsia"/>
                    <w:sz w:val="20"/>
                    <w:szCs w:val="20"/>
                    <w:lang w:eastAsia="en-US"/>
                  </w:rPr>
                  <w:t>☐</w:t>
                </w:r>
              </w:sdtContent>
            </w:sdt>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46385EBD" w14:textId="77777777" w:rsidR="00B612AD" w:rsidRPr="00884895" w:rsidRDefault="00B612AD" w:rsidP="00B612AD">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298381047"/>
                <w14:checkbox>
                  <w14:checked w14:val="1"/>
                  <w14:checkedState w14:val="2612" w14:font="MS Gothic"/>
                  <w14:uncheckedState w14:val="2610" w14:font="MS Gothic"/>
                </w14:checkbox>
              </w:sdtPr>
              <w:sdtContent>
                <w:r w:rsidR="004A7FD7">
                  <w:rPr>
                    <w:rFonts w:ascii="MS Gothic" w:eastAsia="MS Gothic" w:hAnsi="MS Gothic" w:cs="Arial" w:hint="eastAsia"/>
                    <w:sz w:val="20"/>
                    <w:szCs w:val="20"/>
                    <w:lang w:eastAsia="en-US"/>
                  </w:rPr>
                  <w:t>☒</w:t>
                </w:r>
              </w:sdtContent>
            </w:sdt>
          </w:p>
        </w:tc>
      </w:tr>
      <w:tr w:rsidR="00B612AD" w:rsidRPr="00A67ABF" w14:paraId="1ACD7562" w14:textId="77777777" w:rsidTr="005D0998">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6A287D" w14:textId="77777777" w:rsidR="00B612AD" w:rsidRPr="00A67ABF" w:rsidRDefault="00B612AD" w:rsidP="00B612AD">
            <w:pPr>
              <w:spacing w:before="60" w:after="60" w:line="240" w:lineRule="exact"/>
              <w:jc w:val="left"/>
              <w:rPr>
                <w:rFonts w:cs="Arial"/>
                <w:sz w:val="20"/>
                <w:szCs w:val="20"/>
                <w:lang w:eastAsia="en-US"/>
              </w:rPr>
            </w:pPr>
            <w:r>
              <w:rPr>
                <w:rFonts w:cs="Arial"/>
                <w:sz w:val="20"/>
                <w:szCs w:val="20"/>
                <w:lang w:eastAsia="en-US"/>
              </w:rPr>
              <w:t xml:space="preserve">Durchschnittliche </w:t>
            </w:r>
            <w:r w:rsidRPr="00A67ABF">
              <w:rPr>
                <w:rFonts w:cs="Arial"/>
                <w:sz w:val="20"/>
                <w:szCs w:val="20"/>
                <w:lang w:eastAsia="en-US"/>
              </w:rPr>
              <w:t>Anzahl</w:t>
            </w:r>
            <w:r>
              <w:rPr>
                <w:rFonts w:cs="Arial"/>
                <w:sz w:val="20"/>
                <w:szCs w:val="20"/>
                <w:lang w:eastAsia="en-US"/>
              </w:rPr>
              <w:t>*</w:t>
            </w:r>
            <w:r w:rsidRPr="00A67ABF">
              <w:rPr>
                <w:rFonts w:cs="Arial"/>
                <w:sz w:val="20"/>
                <w:szCs w:val="20"/>
                <w:lang w:eastAsia="en-US"/>
              </w:rPr>
              <w:t xml:space="preserve"> der Studienanfängerinnen und</w:t>
            </w:r>
            <w:r>
              <w:rPr>
                <w:rFonts w:cs="Arial"/>
                <w:sz w:val="20"/>
                <w:szCs w:val="20"/>
                <w:lang w:eastAsia="en-US"/>
              </w:rPr>
              <w:t xml:space="preserve"> </w:t>
            </w:r>
            <w:r w:rsidRPr="00A67ABF">
              <w:rPr>
                <w:rFonts w:cs="Arial"/>
                <w:sz w:val="20"/>
                <w:szCs w:val="20"/>
                <w:lang w:eastAsia="en-US"/>
              </w:rPr>
              <w:t>Studienanfänger</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A03407" w14:textId="77777777" w:rsidR="00B612AD" w:rsidRPr="00A67ABF" w:rsidRDefault="004A7FD7" w:rsidP="00B612AD">
            <w:pPr>
              <w:spacing w:before="60" w:after="60" w:line="240" w:lineRule="auto"/>
              <w:rPr>
                <w:rFonts w:cs="Arial"/>
                <w:sz w:val="20"/>
                <w:szCs w:val="20"/>
                <w:lang w:eastAsia="en-US"/>
              </w:rPr>
            </w:pPr>
            <w:proofErr w:type="spellStart"/>
            <w:r>
              <w:rPr>
                <w:rFonts w:cs="Arial"/>
                <w:sz w:val="20"/>
                <w:szCs w:val="20"/>
                <w:lang w:eastAsia="en-US"/>
              </w:rPr>
              <w:t>k.A</w:t>
            </w:r>
            <w:proofErr w:type="spellEnd"/>
            <w:r>
              <w:rPr>
                <w:rFonts w:cs="Arial"/>
                <w:sz w:val="20"/>
                <w:szCs w:val="20"/>
                <w:lang w:eastAsia="en-US"/>
              </w:rPr>
              <w:t>.</w:t>
            </w: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2F8CAAF" w14:textId="77777777" w:rsidR="00B612AD" w:rsidRPr="00A67ABF" w:rsidRDefault="00B612AD" w:rsidP="00B612AD">
            <w:pPr>
              <w:spacing w:before="60" w:after="60" w:line="240" w:lineRule="auto"/>
              <w:jc w:val="left"/>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1512671528"/>
                <w14:checkbox>
                  <w14:checked w14:val="0"/>
                  <w14:checkedState w14:val="2612" w14:font="MS Gothic"/>
                  <w14:uncheckedState w14:val="2610" w14:font="MS Gothic"/>
                </w14:checkbox>
              </w:sdtPr>
              <w:sdtContent>
                <w:r>
                  <w:rPr>
                    <w:rFonts w:ascii="MS Gothic" w:eastAsia="MS Gothic" w:hAnsi="MS Gothic" w:cs="Arial" w:hint="eastAsia"/>
                    <w:sz w:val="20"/>
                    <w:szCs w:val="20"/>
                    <w:lang w:eastAsia="en-US"/>
                  </w:rPr>
                  <w:t>☐</w:t>
                </w:r>
              </w:sdtContent>
            </w:sdt>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3D8462C2" w14:textId="77777777" w:rsidR="00B612AD" w:rsidRPr="00A67ABF" w:rsidRDefault="00B612AD" w:rsidP="00B612AD">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1562896143"/>
                <w14:checkbox>
                  <w14:checked w14:val="0"/>
                  <w14:checkedState w14:val="2612" w14:font="MS Gothic"/>
                  <w14:uncheckedState w14:val="2610" w14:font="MS Gothic"/>
                </w14:checkbox>
              </w:sdtPr>
              <w:sdtContent>
                <w:r w:rsidRPr="00A67ABF">
                  <w:rPr>
                    <w:rFonts w:ascii="MS Gothic" w:eastAsia="MS Gothic" w:hAnsi="MS Gothic" w:cs="Arial" w:hint="eastAsia"/>
                    <w:sz w:val="20"/>
                    <w:szCs w:val="20"/>
                    <w:lang w:eastAsia="en-US"/>
                  </w:rPr>
                  <w:t>☐</w:t>
                </w:r>
              </w:sdtContent>
            </w:sdt>
          </w:p>
        </w:tc>
      </w:tr>
      <w:tr w:rsidR="00B612AD" w:rsidRPr="00A67ABF" w14:paraId="72CA533F" w14:textId="77777777" w:rsidTr="005D0998">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1D0053" w14:textId="77777777" w:rsidR="00B612AD" w:rsidRPr="00A67ABF" w:rsidRDefault="00B612AD" w:rsidP="00B612AD">
            <w:pPr>
              <w:spacing w:before="60" w:after="60" w:line="240" w:lineRule="exact"/>
              <w:jc w:val="left"/>
              <w:rPr>
                <w:rFonts w:cs="Arial"/>
                <w:sz w:val="20"/>
                <w:szCs w:val="20"/>
                <w:lang w:eastAsia="en-US"/>
              </w:rPr>
            </w:pPr>
            <w:r>
              <w:rPr>
                <w:rFonts w:cs="Arial"/>
                <w:sz w:val="20"/>
                <w:szCs w:val="20"/>
                <w:lang w:eastAsia="en-US"/>
              </w:rPr>
              <w:t xml:space="preserve">Durchschnittliche </w:t>
            </w:r>
            <w:r w:rsidRPr="00A67ABF">
              <w:rPr>
                <w:rFonts w:cs="Arial"/>
                <w:sz w:val="20"/>
                <w:szCs w:val="20"/>
                <w:lang w:eastAsia="en-US"/>
              </w:rPr>
              <w:t>Anzahl</w:t>
            </w:r>
            <w:r>
              <w:rPr>
                <w:rFonts w:cs="Arial"/>
                <w:sz w:val="20"/>
                <w:szCs w:val="20"/>
                <w:lang w:eastAsia="en-US"/>
              </w:rPr>
              <w:t>*</w:t>
            </w:r>
            <w:r w:rsidRPr="00A67ABF">
              <w:rPr>
                <w:rFonts w:cs="Arial"/>
                <w:sz w:val="20"/>
                <w:szCs w:val="20"/>
                <w:lang w:eastAsia="en-US"/>
              </w:rPr>
              <w:t xml:space="preserve"> der Absolventinnen</w:t>
            </w:r>
            <w:r>
              <w:rPr>
                <w:rFonts w:cs="Arial"/>
                <w:sz w:val="20"/>
                <w:szCs w:val="20"/>
                <w:lang w:eastAsia="en-US"/>
              </w:rPr>
              <w:t xml:space="preserve"> und </w:t>
            </w:r>
            <w:r w:rsidRPr="00A67ABF">
              <w:rPr>
                <w:rFonts w:cs="Arial"/>
                <w:sz w:val="20"/>
                <w:szCs w:val="20"/>
                <w:lang w:eastAsia="en-US"/>
              </w:rPr>
              <w:t>Absolventen</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A2542F" w14:textId="77777777" w:rsidR="00B612AD" w:rsidRPr="00A67ABF" w:rsidRDefault="004A7FD7" w:rsidP="00B612AD">
            <w:pPr>
              <w:spacing w:before="60" w:after="60" w:line="240" w:lineRule="auto"/>
              <w:rPr>
                <w:rFonts w:cs="Arial"/>
                <w:sz w:val="20"/>
                <w:szCs w:val="20"/>
                <w:lang w:eastAsia="en-US"/>
              </w:rPr>
            </w:pPr>
            <w:proofErr w:type="spellStart"/>
            <w:r>
              <w:rPr>
                <w:rFonts w:cs="Arial"/>
                <w:sz w:val="20"/>
                <w:szCs w:val="20"/>
                <w:lang w:eastAsia="en-US"/>
              </w:rPr>
              <w:t>k.A</w:t>
            </w:r>
            <w:proofErr w:type="spellEnd"/>
            <w:r>
              <w:rPr>
                <w:rFonts w:cs="Arial"/>
                <w:sz w:val="20"/>
                <w:szCs w:val="20"/>
                <w:lang w:eastAsia="en-US"/>
              </w:rPr>
              <w:t xml:space="preserve">. </w:t>
            </w: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0484555C" w14:textId="77777777" w:rsidR="00B612AD" w:rsidRPr="00A67ABF" w:rsidRDefault="00B612AD" w:rsidP="00B612AD">
            <w:pPr>
              <w:spacing w:before="60" w:after="60" w:line="240" w:lineRule="auto"/>
              <w:jc w:val="left"/>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896855998"/>
                <w14:checkbox>
                  <w14:checked w14:val="0"/>
                  <w14:checkedState w14:val="2612" w14:font="MS Gothic"/>
                  <w14:uncheckedState w14:val="2610" w14:font="MS Gothic"/>
                </w14:checkbox>
              </w:sdtPr>
              <w:sdtContent>
                <w:r w:rsidRPr="00A67ABF">
                  <w:rPr>
                    <w:rFonts w:ascii="MS Gothic" w:eastAsia="MS Gothic" w:hAnsi="MS Gothic" w:cs="Arial" w:hint="eastAsia"/>
                    <w:sz w:val="20"/>
                    <w:szCs w:val="20"/>
                    <w:lang w:eastAsia="en-US"/>
                  </w:rPr>
                  <w:t>☐</w:t>
                </w:r>
              </w:sdtContent>
            </w:sdt>
          </w:p>
          <w:p w14:paraId="63CB6C6F" w14:textId="77777777" w:rsidR="00B612AD" w:rsidRPr="00A67ABF" w:rsidRDefault="00B612AD" w:rsidP="00B612AD">
            <w:pPr>
              <w:spacing w:before="60" w:after="60" w:line="240" w:lineRule="auto"/>
              <w:rPr>
                <w:rFonts w:cs="Arial"/>
                <w:sz w:val="20"/>
                <w:szCs w:val="20"/>
                <w:lang w:eastAsia="en-US"/>
              </w:rPr>
            </w:pPr>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0E0BB924" w14:textId="77777777" w:rsidR="00B612AD" w:rsidRPr="00A67ABF" w:rsidRDefault="00B612AD" w:rsidP="00B612AD">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165634326"/>
                <w14:checkbox>
                  <w14:checked w14:val="0"/>
                  <w14:checkedState w14:val="2612" w14:font="MS Gothic"/>
                  <w14:uncheckedState w14:val="2610" w14:font="MS Gothic"/>
                </w14:checkbox>
              </w:sdtPr>
              <w:sdtContent>
                <w:r w:rsidRPr="00A67ABF">
                  <w:rPr>
                    <w:rFonts w:ascii="MS Gothic" w:eastAsia="MS Gothic" w:hAnsi="MS Gothic" w:cs="Arial" w:hint="eastAsia"/>
                    <w:sz w:val="20"/>
                    <w:szCs w:val="20"/>
                    <w:lang w:eastAsia="en-US"/>
                  </w:rPr>
                  <w:t>☐</w:t>
                </w:r>
              </w:sdtContent>
            </w:sdt>
          </w:p>
        </w:tc>
      </w:tr>
      <w:tr w:rsidR="00B612AD" w:rsidRPr="00A67ABF" w14:paraId="2F6F3E87" w14:textId="77777777" w:rsidTr="00AA5F00">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E8886E" w14:textId="77777777" w:rsidR="00B612AD" w:rsidRPr="00A67ABF" w:rsidRDefault="00B612AD" w:rsidP="00B612AD">
            <w:pPr>
              <w:spacing w:before="60" w:after="60" w:line="240" w:lineRule="auto"/>
              <w:jc w:val="left"/>
              <w:rPr>
                <w:rFonts w:cs="Arial"/>
                <w:sz w:val="20"/>
                <w:szCs w:val="20"/>
                <w:lang w:eastAsia="en-US"/>
              </w:rPr>
            </w:pPr>
            <w:r>
              <w:rPr>
                <w:rFonts w:cs="Arial"/>
                <w:sz w:val="20"/>
                <w:szCs w:val="20"/>
                <w:lang w:eastAsia="en-US"/>
              </w:rPr>
              <w:t>* Bezugszeitraum:</w:t>
            </w:r>
          </w:p>
        </w:tc>
        <w:tc>
          <w:tcPr>
            <w:tcW w:w="552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C6B735" w14:textId="77777777" w:rsidR="00B612AD" w:rsidRPr="00A67ABF" w:rsidRDefault="00B612AD" w:rsidP="00B612AD">
            <w:pPr>
              <w:spacing w:before="60" w:after="60" w:line="240" w:lineRule="auto"/>
              <w:rPr>
                <w:rFonts w:cs="Arial"/>
                <w:sz w:val="20"/>
                <w:szCs w:val="20"/>
                <w:lang w:eastAsia="en-US"/>
              </w:rPr>
            </w:pPr>
          </w:p>
        </w:tc>
      </w:tr>
    </w:tbl>
    <w:p w14:paraId="59BE8574" w14:textId="77777777" w:rsidR="00267434" w:rsidRPr="0029171E" w:rsidRDefault="00267434" w:rsidP="00142116">
      <w:pPr>
        <w:spacing w:before="0" w:line="240" w:lineRule="auto"/>
        <w:rPr>
          <w:sz w:val="16"/>
          <w:szCs w:val="16"/>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528"/>
      </w:tblGrid>
      <w:tr w:rsidR="004237AF" w:rsidRPr="003F4506" w14:paraId="10EB381A" w14:textId="77777777" w:rsidTr="0029171E">
        <w:tc>
          <w:tcPr>
            <w:tcW w:w="3823" w:type="dxa"/>
          </w:tcPr>
          <w:p w14:paraId="7D1286C2" w14:textId="77777777" w:rsidR="004237AF" w:rsidRPr="003F4506" w:rsidRDefault="004237AF" w:rsidP="00E0660C">
            <w:pPr>
              <w:spacing w:before="60" w:after="60" w:line="280" w:lineRule="exact"/>
              <w:jc w:val="left"/>
              <w:rPr>
                <w:rFonts w:cs="Arial"/>
                <w:sz w:val="20"/>
                <w:szCs w:val="20"/>
                <w:lang w:eastAsia="en-US"/>
              </w:rPr>
            </w:pPr>
            <w:r>
              <w:rPr>
                <w:rFonts w:cs="Arial"/>
                <w:sz w:val="20"/>
                <w:szCs w:val="20"/>
                <w:lang w:eastAsia="en-US"/>
              </w:rPr>
              <w:t>Konzeptakkreditierung</w:t>
            </w:r>
          </w:p>
        </w:tc>
        <w:tc>
          <w:tcPr>
            <w:tcW w:w="5528" w:type="dxa"/>
          </w:tcPr>
          <w:sdt>
            <w:sdtPr>
              <w:rPr>
                <w:rFonts w:cs="Arial"/>
                <w:sz w:val="20"/>
                <w:szCs w:val="20"/>
                <w:lang w:eastAsia="en-US"/>
              </w:rPr>
              <w:id w:val="695659983"/>
              <w14:checkbox>
                <w14:checked w14:val="0"/>
                <w14:checkedState w14:val="2612" w14:font="MS Gothic"/>
                <w14:uncheckedState w14:val="2610" w14:font="MS Gothic"/>
              </w14:checkbox>
            </w:sdtPr>
            <w:sdtContent>
              <w:p w14:paraId="4AC8B597" w14:textId="77777777" w:rsidR="004237AF" w:rsidRDefault="004237AF" w:rsidP="00E0660C">
                <w:pPr>
                  <w:spacing w:before="60" w:after="60" w:line="280" w:lineRule="exact"/>
                  <w:rPr>
                    <w:rFonts w:cs="Arial"/>
                    <w:sz w:val="20"/>
                    <w:szCs w:val="20"/>
                    <w:lang w:eastAsia="en-US"/>
                  </w:rPr>
                </w:pPr>
                <w:r>
                  <w:rPr>
                    <w:rFonts w:ascii="MS Gothic" w:eastAsia="MS Gothic" w:hAnsi="MS Gothic" w:cs="Arial" w:hint="eastAsia"/>
                    <w:sz w:val="20"/>
                    <w:szCs w:val="20"/>
                    <w:lang w:eastAsia="en-US"/>
                  </w:rPr>
                  <w:t>☐</w:t>
                </w:r>
              </w:p>
            </w:sdtContent>
          </w:sdt>
        </w:tc>
      </w:tr>
      <w:tr w:rsidR="004356C8" w:rsidRPr="003F4506" w14:paraId="5ECF6C58" w14:textId="77777777" w:rsidTr="0029171E">
        <w:tc>
          <w:tcPr>
            <w:tcW w:w="3823" w:type="dxa"/>
          </w:tcPr>
          <w:p w14:paraId="2AD3F38C" w14:textId="77777777" w:rsidR="004356C8" w:rsidRPr="003F4506" w:rsidRDefault="004356C8" w:rsidP="004356C8">
            <w:pPr>
              <w:spacing w:before="60" w:after="60" w:line="280" w:lineRule="exact"/>
              <w:jc w:val="left"/>
              <w:rPr>
                <w:rFonts w:cs="Arial"/>
                <w:sz w:val="20"/>
                <w:szCs w:val="20"/>
                <w:lang w:eastAsia="en-US"/>
              </w:rPr>
            </w:pPr>
            <w:r w:rsidRPr="003F4506">
              <w:rPr>
                <w:rFonts w:cs="Arial"/>
                <w:sz w:val="20"/>
                <w:szCs w:val="20"/>
                <w:lang w:eastAsia="en-US"/>
              </w:rPr>
              <w:t xml:space="preserve">Erstakkreditierung </w:t>
            </w:r>
          </w:p>
        </w:tc>
        <w:tc>
          <w:tcPr>
            <w:tcW w:w="5528" w:type="dxa"/>
          </w:tcPr>
          <w:sdt>
            <w:sdtPr>
              <w:rPr>
                <w:rFonts w:cs="Arial"/>
                <w:sz w:val="20"/>
                <w:szCs w:val="20"/>
                <w:lang w:eastAsia="en-US"/>
              </w:rPr>
              <w:id w:val="1782454203"/>
              <w14:checkbox>
                <w14:checked w14:val="1"/>
                <w14:checkedState w14:val="2612" w14:font="MS Gothic"/>
                <w14:uncheckedState w14:val="2610" w14:font="MS Gothic"/>
              </w14:checkbox>
            </w:sdtPr>
            <w:sdtContent>
              <w:p w14:paraId="2032FAE2" w14:textId="77777777" w:rsidR="004356C8" w:rsidRPr="003F4506" w:rsidRDefault="004A7FD7" w:rsidP="004356C8">
                <w:pPr>
                  <w:spacing w:before="60" w:after="60" w:line="280" w:lineRule="exact"/>
                  <w:rPr>
                    <w:rFonts w:cs="Arial"/>
                    <w:sz w:val="20"/>
                    <w:szCs w:val="20"/>
                    <w:lang w:eastAsia="en-US"/>
                  </w:rPr>
                </w:pPr>
                <w:r>
                  <w:rPr>
                    <w:rFonts w:ascii="MS Gothic" w:eastAsia="MS Gothic" w:hAnsi="MS Gothic" w:cs="Arial" w:hint="eastAsia"/>
                    <w:sz w:val="20"/>
                    <w:szCs w:val="20"/>
                    <w:lang w:eastAsia="en-US"/>
                  </w:rPr>
                  <w:t>☒</w:t>
                </w:r>
              </w:p>
            </w:sdtContent>
          </w:sdt>
        </w:tc>
      </w:tr>
      <w:tr w:rsidR="004237AF" w:rsidRPr="003F4506" w14:paraId="3AE27537" w14:textId="77777777" w:rsidTr="0029171E">
        <w:tc>
          <w:tcPr>
            <w:tcW w:w="3823" w:type="dxa"/>
          </w:tcPr>
          <w:p w14:paraId="567C474E" w14:textId="77777777" w:rsidR="004237AF" w:rsidRPr="003F4506" w:rsidRDefault="004237AF" w:rsidP="004237AF">
            <w:pPr>
              <w:spacing w:before="60" w:after="60" w:line="280" w:lineRule="exact"/>
              <w:jc w:val="left"/>
              <w:rPr>
                <w:rFonts w:cs="Arial"/>
                <w:sz w:val="20"/>
                <w:szCs w:val="20"/>
                <w:lang w:eastAsia="en-US"/>
              </w:rPr>
            </w:pPr>
            <w:proofErr w:type="spellStart"/>
            <w:r w:rsidRPr="003F4506">
              <w:rPr>
                <w:rFonts w:cs="Arial"/>
                <w:sz w:val="20"/>
                <w:szCs w:val="20"/>
                <w:lang w:eastAsia="en-US"/>
              </w:rPr>
              <w:t>Reakkreditierung</w:t>
            </w:r>
            <w:proofErr w:type="spellEnd"/>
            <w:r>
              <w:rPr>
                <w:rFonts w:cs="Arial"/>
                <w:sz w:val="20"/>
                <w:szCs w:val="20"/>
                <w:lang w:eastAsia="en-US"/>
              </w:rPr>
              <w:t xml:space="preserve"> Nr. </w:t>
            </w:r>
            <w:r w:rsidR="00792010">
              <w:rPr>
                <w:rFonts w:cs="Arial"/>
                <w:sz w:val="20"/>
                <w:szCs w:val="20"/>
                <w:lang w:eastAsia="en-US"/>
              </w:rPr>
              <w:t>(Anzahl)</w:t>
            </w:r>
          </w:p>
        </w:tc>
        <w:tc>
          <w:tcPr>
            <w:tcW w:w="5528" w:type="dxa"/>
          </w:tcPr>
          <w:p w14:paraId="78C86548" w14:textId="77777777" w:rsidR="004237AF" w:rsidRPr="003F4506" w:rsidRDefault="004237AF" w:rsidP="004237AF">
            <w:pPr>
              <w:spacing w:before="60" w:after="60" w:line="280" w:lineRule="exact"/>
              <w:ind w:right="-392"/>
              <w:rPr>
                <w:rFonts w:cs="Arial"/>
                <w:sz w:val="20"/>
                <w:szCs w:val="20"/>
                <w:lang w:eastAsia="en-US"/>
              </w:rPr>
            </w:pPr>
          </w:p>
        </w:tc>
      </w:tr>
    </w:tbl>
    <w:p w14:paraId="1CB794C7" w14:textId="77777777" w:rsidR="005B40F7" w:rsidRPr="005B40F7" w:rsidRDefault="005B40F7">
      <w:pPr>
        <w:spacing w:before="0" w:line="240" w:lineRule="auto"/>
        <w:jc w:val="left"/>
        <w:rPr>
          <w:sz w:val="16"/>
          <w:szCs w:val="16"/>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528"/>
      </w:tblGrid>
      <w:tr w:rsidR="005B40F7" w:rsidRPr="003F4506" w14:paraId="70245CC0" w14:textId="77777777" w:rsidTr="00723DED">
        <w:tc>
          <w:tcPr>
            <w:tcW w:w="3823" w:type="dxa"/>
          </w:tcPr>
          <w:p w14:paraId="49D348F2" w14:textId="77777777" w:rsidR="005B40F7" w:rsidRPr="003F4506" w:rsidRDefault="005B40F7" w:rsidP="00723DED">
            <w:pPr>
              <w:spacing w:before="60" w:after="60" w:line="280" w:lineRule="exact"/>
              <w:jc w:val="left"/>
              <w:rPr>
                <w:rFonts w:cs="Arial"/>
                <w:sz w:val="20"/>
                <w:szCs w:val="20"/>
                <w:lang w:eastAsia="en-US"/>
              </w:rPr>
            </w:pPr>
            <w:r w:rsidRPr="003F4506">
              <w:rPr>
                <w:rFonts w:cs="Arial"/>
                <w:sz w:val="20"/>
                <w:szCs w:val="20"/>
                <w:lang w:eastAsia="en-US"/>
              </w:rPr>
              <w:t>Verantwortliche Agentur</w:t>
            </w:r>
          </w:p>
        </w:tc>
        <w:tc>
          <w:tcPr>
            <w:tcW w:w="5528" w:type="dxa"/>
          </w:tcPr>
          <w:p w14:paraId="49A23DA9" w14:textId="77777777" w:rsidR="005B40F7" w:rsidRPr="003F4506" w:rsidRDefault="002A1E7F" w:rsidP="00723DED">
            <w:pPr>
              <w:spacing w:before="60" w:after="60" w:line="280" w:lineRule="exact"/>
              <w:rPr>
                <w:rFonts w:cs="Arial"/>
                <w:sz w:val="20"/>
                <w:szCs w:val="20"/>
                <w:lang w:eastAsia="en-US"/>
              </w:rPr>
            </w:pPr>
            <w:r>
              <w:rPr>
                <w:rFonts w:cs="Arial"/>
                <w:sz w:val="20"/>
                <w:szCs w:val="20"/>
                <w:lang w:eastAsia="en-US"/>
              </w:rPr>
              <w:t xml:space="preserve">ASIIN e.V. </w:t>
            </w:r>
          </w:p>
        </w:tc>
      </w:tr>
      <w:tr w:rsidR="005B40F7" w:rsidRPr="003F4506" w14:paraId="6CA7EC48" w14:textId="77777777" w:rsidTr="00723DED">
        <w:tc>
          <w:tcPr>
            <w:tcW w:w="3823" w:type="dxa"/>
          </w:tcPr>
          <w:p w14:paraId="3E072238" w14:textId="77777777" w:rsidR="005B40F7" w:rsidRPr="003F4506" w:rsidRDefault="005B40F7" w:rsidP="00723DED">
            <w:pPr>
              <w:spacing w:before="60" w:after="60" w:line="280" w:lineRule="exact"/>
              <w:jc w:val="left"/>
              <w:rPr>
                <w:rFonts w:cs="Arial"/>
                <w:sz w:val="20"/>
                <w:szCs w:val="20"/>
                <w:lang w:eastAsia="en-US"/>
              </w:rPr>
            </w:pPr>
            <w:r>
              <w:rPr>
                <w:rFonts w:cs="Arial"/>
                <w:sz w:val="20"/>
                <w:szCs w:val="20"/>
                <w:lang w:eastAsia="en-US"/>
              </w:rPr>
              <w:t>Zuständige/r Referent/in</w:t>
            </w:r>
          </w:p>
        </w:tc>
        <w:tc>
          <w:tcPr>
            <w:tcW w:w="5528" w:type="dxa"/>
          </w:tcPr>
          <w:p w14:paraId="32B88A8C" w14:textId="77777777" w:rsidR="005B40F7" w:rsidRPr="003F4506" w:rsidRDefault="002A1E7F" w:rsidP="00723DED">
            <w:pPr>
              <w:spacing w:before="60" w:after="60" w:line="280" w:lineRule="exact"/>
              <w:rPr>
                <w:rFonts w:cs="Arial"/>
                <w:sz w:val="20"/>
                <w:szCs w:val="20"/>
                <w:lang w:eastAsia="en-US"/>
              </w:rPr>
            </w:pPr>
            <w:r>
              <w:rPr>
                <w:rFonts w:cs="Arial"/>
                <w:sz w:val="20"/>
                <w:szCs w:val="20"/>
                <w:lang w:eastAsia="en-US"/>
              </w:rPr>
              <w:t>Paulina Petracenko</w:t>
            </w:r>
          </w:p>
        </w:tc>
      </w:tr>
      <w:tr w:rsidR="005B40F7" w:rsidRPr="003F4506" w14:paraId="1D4D38C9" w14:textId="77777777" w:rsidTr="00723DED">
        <w:tc>
          <w:tcPr>
            <w:tcW w:w="3823" w:type="dxa"/>
          </w:tcPr>
          <w:p w14:paraId="012074AE" w14:textId="77777777" w:rsidR="005B40F7" w:rsidRPr="003F4506" w:rsidRDefault="005B40F7" w:rsidP="00723DED">
            <w:pPr>
              <w:spacing w:before="60" w:after="60" w:line="280" w:lineRule="exact"/>
              <w:jc w:val="left"/>
              <w:rPr>
                <w:rFonts w:cs="Arial"/>
                <w:sz w:val="20"/>
                <w:szCs w:val="20"/>
                <w:lang w:eastAsia="en-US"/>
              </w:rPr>
            </w:pPr>
            <w:r w:rsidRPr="003F4506">
              <w:rPr>
                <w:rFonts w:cs="Arial"/>
                <w:sz w:val="20"/>
                <w:szCs w:val="20"/>
                <w:lang w:eastAsia="en-US"/>
              </w:rPr>
              <w:t>Akkreditierungsbericht</w:t>
            </w:r>
            <w:r>
              <w:rPr>
                <w:rFonts w:cs="Arial"/>
                <w:sz w:val="20"/>
                <w:szCs w:val="20"/>
                <w:lang w:eastAsia="en-US"/>
              </w:rPr>
              <w:t xml:space="preserve"> vom </w:t>
            </w:r>
          </w:p>
        </w:tc>
        <w:sdt>
          <w:sdtPr>
            <w:rPr>
              <w:rFonts w:cs="Arial"/>
              <w:color w:val="808080" w:themeColor="background1" w:themeShade="80"/>
              <w:sz w:val="20"/>
              <w:szCs w:val="20"/>
              <w:lang w:eastAsia="en-US"/>
            </w:rPr>
            <w:id w:val="711396373"/>
            <w:placeholder>
              <w:docPart w:val="0788CE8549B24F48BCF5C437637E0E02"/>
            </w:placeholder>
            <w:date w:fullDate="2025-02-13T00:00:00Z">
              <w:dateFormat w:val="dd.MM.yyyy"/>
              <w:lid w:val="de-DE"/>
              <w:storeMappedDataAs w:val="dateTime"/>
              <w:calendar w:val="gregorian"/>
            </w:date>
          </w:sdtPr>
          <w:sdtContent>
            <w:tc>
              <w:tcPr>
                <w:tcW w:w="5528" w:type="dxa"/>
              </w:tcPr>
              <w:p w14:paraId="5528E7B0" w14:textId="361B70F3" w:rsidR="005B40F7" w:rsidRPr="003F4506" w:rsidRDefault="00BA4FDF" w:rsidP="00723DED">
                <w:pPr>
                  <w:spacing w:before="60" w:after="60" w:line="280" w:lineRule="exact"/>
                  <w:rPr>
                    <w:rFonts w:cs="Arial"/>
                    <w:sz w:val="20"/>
                    <w:szCs w:val="20"/>
                    <w:lang w:eastAsia="en-US"/>
                  </w:rPr>
                </w:pPr>
                <w:r>
                  <w:rPr>
                    <w:rFonts w:cs="Arial"/>
                    <w:color w:val="808080" w:themeColor="background1" w:themeShade="80"/>
                    <w:sz w:val="20"/>
                    <w:szCs w:val="20"/>
                    <w:lang w:eastAsia="en-US"/>
                  </w:rPr>
                  <w:t>13.02.2025</w:t>
                </w:r>
              </w:p>
            </w:tc>
          </w:sdtContent>
        </w:sdt>
      </w:tr>
    </w:tbl>
    <w:p w14:paraId="368840E6" w14:textId="77777777" w:rsidR="005B40F7" w:rsidRDefault="005B40F7">
      <w:pPr>
        <w:spacing w:before="0" w:line="240" w:lineRule="auto"/>
        <w:jc w:val="left"/>
      </w:pPr>
    </w:p>
    <w:p w14:paraId="242E9524" w14:textId="77777777" w:rsidR="0029171E" w:rsidRDefault="0029171E">
      <w:pPr>
        <w:spacing w:before="0" w:line="240" w:lineRule="auto"/>
        <w:jc w:val="left"/>
      </w:pPr>
    </w:p>
    <w:p w14:paraId="2A1C5AE6" w14:textId="77777777" w:rsidR="00877A39" w:rsidRPr="002B64C9" w:rsidRDefault="00877A39" w:rsidP="00877A39">
      <w:pPr>
        <w:pStyle w:val="Inhaltsverzeichnisberschrift"/>
      </w:pPr>
      <w:bookmarkStart w:id="0" w:name="Inhalt"/>
      <w:r w:rsidRPr="002B64C9">
        <w:lastRenderedPageBreak/>
        <w:t>Inhalt</w:t>
      </w:r>
    </w:p>
    <w:bookmarkEnd w:id="0"/>
    <w:p w14:paraId="4E601D18" w14:textId="6A39929F" w:rsidR="00BA4FDF" w:rsidRDefault="00877A39">
      <w:pPr>
        <w:pStyle w:val="Verzeichnis2"/>
        <w:rPr>
          <w:rFonts w:eastAsiaTheme="minorEastAsia" w:cstheme="minorBidi"/>
          <w:i w:val="0"/>
          <w:iCs w:val="0"/>
          <w:noProof/>
          <w:sz w:val="22"/>
          <w:szCs w:val="22"/>
        </w:rPr>
      </w:pPr>
      <w:r w:rsidRPr="001B6906">
        <w:rPr>
          <w:rFonts w:ascii="Arial" w:hAnsi="Arial" w:cs="Arial"/>
          <w:i w:val="0"/>
          <w:iCs w:val="0"/>
          <w:sz w:val="18"/>
          <w:szCs w:val="18"/>
        </w:rPr>
        <w:fldChar w:fldCharType="begin"/>
      </w:r>
      <w:r w:rsidRPr="001B6906">
        <w:rPr>
          <w:rFonts w:ascii="Arial" w:hAnsi="Arial" w:cs="Arial"/>
          <w:i w:val="0"/>
          <w:iCs w:val="0"/>
          <w:sz w:val="18"/>
          <w:szCs w:val="18"/>
        </w:rPr>
        <w:instrText xml:space="preserve"> TOC \o "1-4" \h \z \u </w:instrText>
      </w:r>
      <w:r w:rsidRPr="001B6906">
        <w:rPr>
          <w:rFonts w:ascii="Arial" w:hAnsi="Arial" w:cs="Arial"/>
          <w:i w:val="0"/>
          <w:iCs w:val="0"/>
          <w:sz w:val="18"/>
          <w:szCs w:val="18"/>
        </w:rPr>
        <w:fldChar w:fldCharType="separate"/>
      </w:r>
      <w:hyperlink w:anchor="_Toc190351684" w:history="1">
        <w:r w:rsidR="00BA4FDF" w:rsidRPr="008D6DD0">
          <w:rPr>
            <w:rStyle w:val="Hyperlink"/>
            <w:noProof/>
          </w:rPr>
          <w:t>Ergebnisse auf einen Blick</w:t>
        </w:r>
        <w:r w:rsidR="00BA4FDF">
          <w:rPr>
            <w:noProof/>
            <w:webHidden/>
          </w:rPr>
          <w:tab/>
        </w:r>
        <w:r w:rsidR="00BA4FDF">
          <w:rPr>
            <w:noProof/>
            <w:webHidden/>
          </w:rPr>
          <w:fldChar w:fldCharType="begin"/>
        </w:r>
        <w:r w:rsidR="00BA4FDF">
          <w:rPr>
            <w:noProof/>
            <w:webHidden/>
          </w:rPr>
          <w:instrText xml:space="preserve"> PAGEREF _Toc190351684 \h </w:instrText>
        </w:r>
        <w:r w:rsidR="00BA4FDF">
          <w:rPr>
            <w:noProof/>
            <w:webHidden/>
          </w:rPr>
        </w:r>
        <w:r w:rsidR="00BA4FDF">
          <w:rPr>
            <w:noProof/>
            <w:webHidden/>
          </w:rPr>
          <w:fldChar w:fldCharType="separate"/>
        </w:r>
        <w:r w:rsidR="00BA4FDF">
          <w:rPr>
            <w:noProof/>
            <w:webHidden/>
          </w:rPr>
          <w:t>4</w:t>
        </w:r>
        <w:r w:rsidR="00BA4FDF">
          <w:rPr>
            <w:noProof/>
            <w:webHidden/>
          </w:rPr>
          <w:fldChar w:fldCharType="end"/>
        </w:r>
      </w:hyperlink>
    </w:p>
    <w:p w14:paraId="5848EEAB" w14:textId="45630983" w:rsidR="00BA4FDF" w:rsidRDefault="00BA4FDF">
      <w:pPr>
        <w:pStyle w:val="Verzeichnis2"/>
        <w:rPr>
          <w:rFonts w:eastAsiaTheme="minorEastAsia" w:cstheme="minorBidi"/>
          <w:i w:val="0"/>
          <w:iCs w:val="0"/>
          <w:noProof/>
          <w:sz w:val="22"/>
          <w:szCs w:val="22"/>
        </w:rPr>
      </w:pPr>
      <w:hyperlink w:anchor="_Toc190351685" w:history="1">
        <w:r w:rsidRPr="008D6DD0">
          <w:rPr>
            <w:rStyle w:val="Hyperlink"/>
            <w:noProof/>
          </w:rPr>
          <w:t>Kurzprofil des Studiengangs</w:t>
        </w:r>
        <w:r>
          <w:rPr>
            <w:noProof/>
            <w:webHidden/>
          </w:rPr>
          <w:tab/>
        </w:r>
        <w:r>
          <w:rPr>
            <w:noProof/>
            <w:webHidden/>
          </w:rPr>
          <w:fldChar w:fldCharType="begin"/>
        </w:r>
        <w:r>
          <w:rPr>
            <w:noProof/>
            <w:webHidden/>
          </w:rPr>
          <w:instrText xml:space="preserve"> PAGEREF _Toc190351685 \h </w:instrText>
        </w:r>
        <w:r>
          <w:rPr>
            <w:noProof/>
            <w:webHidden/>
          </w:rPr>
        </w:r>
        <w:r>
          <w:rPr>
            <w:noProof/>
            <w:webHidden/>
          </w:rPr>
          <w:fldChar w:fldCharType="separate"/>
        </w:r>
        <w:r>
          <w:rPr>
            <w:noProof/>
            <w:webHidden/>
          </w:rPr>
          <w:t>5</w:t>
        </w:r>
        <w:r>
          <w:rPr>
            <w:noProof/>
            <w:webHidden/>
          </w:rPr>
          <w:fldChar w:fldCharType="end"/>
        </w:r>
      </w:hyperlink>
    </w:p>
    <w:p w14:paraId="00F904DF" w14:textId="618DAA80" w:rsidR="00BA4FDF" w:rsidRDefault="00BA4FDF">
      <w:pPr>
        <w:pStyle w:val="Verzeichnis2"/>
        <w:rPr>
          <w:rFonts w:eastAsiaTheme="minorEastAsia" w:cstheme="minorBidi"/>
          <w:i w:val="0"/>
          <w:iCs w:val="0"/>
          <w:noProof/>
          <w:sz w:val="22"/>
          <w:szCs w:val="22"/>
        </w:rPr>
      </w:pPr>
      <w:hyperlink w:anchor="_Toc190351686" w:history="1">
        <w:r w:rsidRPr="008D6DD0">
          <w:rPr>
            <w:rStyle w:val="Hyperlink"/>
            <w:noProof/>
          </w:rPr>
          <w:t>Zusammenfassende Qualitätsbewertung des Gutachtergremiums</w:t>
        </w:r>
        <w:r>
          <w:rPr>
            <w:noProof/>
            <w:webHidden/>
          </w:rPr>
          <w:tab/>
        </w:r>
        <w:r>
          <w:rPr>
            <w:noProof/>
            <w:webHidden/>
          </w:rPr>
          <w:fldChar w:fldCharType="begin"/>
        </w:r>
        <w:r>
          <w:rPr>
            <w:noProof/>
            <w:webHidden/>
          </w:rPr>
          <w:instrText xml:space="preserve"> PAGEREF _Toc190351686 \h </w:instrText>
        </w:r>
        <w:r>
          <w:rPr>
            <w:noProof/>
            <w:webHidden/>
          </w:rPr>
        </w:r>
        <w:r>
          <w:rPr>
            <w:noProof/>
            <w:webHidden/>
          </w:rPr>
          <w:fldChar w:fldCharType="separate"/>
        </w:r>
        <w:r>
          <w:rPr>
            <w:noProof/>
            <w:webHidden/>
          </w:rPr>
          <w:t>6</w:t>
        </w:r>
        <w:r>
          <w:rPr>
            <w:noProof/>
            <w:webHidden/>
          </w:rPr>
          <w:fldChar w:fldCharType="end"/>
        </w:r>
      </w:hyperlink>
    </w:p>
    <w:p w14:paraId="6C3C7DF4" w14:textId="63A79A63" w:rsidR="00BA4FDF" w:rsidRDefault="00BA4FDF">
      <w:pPr>
        <w:pStyle w:val="Verzeichnis1"/>
        <w:tabs>
          <w:tab w:val="left" w:pos="440"/>
          <w:tab w:val="right" w:leader="dot" w:pos="9344"/>
        </w:tabs>
        <w:rPr>
          <w:rFonts w:eastAsiaTheme="minorEastAsia" w:cstheme="minorBidi"/>
          <w:b w:val="0"/>
          <w:bCs w:val="0"/>
          <w:noProof/>
          <w:sz w:val="22"/>
          <w:szCs w:val="22"/>
        </w:rPr>
      </w:pPr>
      <w:hyperlink w:anchor="_Toc190351687" w:history="1">
        <w:r w:rsidRPr="008D6DD0">
          <w:rPr>
            <w:rStyle w:val="Hyperlink"/>
            <w:noProof/>
          </w:rPr>
          <w:t>1</w:t>
        </w:r>
        <w:r>
          <w:rPr>
            <w:rFonts w:eastAsiaTheme="minorEastAsia" w:cstheme="minorBidi"/>
            <w:b w:val="0"/>
            <w:bCs w:val="0"/>
            <w:noProof/>
            <w:sz w:val="22"/>
            <w:szCs w:val="22"/>
          </w:rPr>
          <w:tab/>
        </w:r>
        <w:r w:rsidRPr="008D6DD0">
          <w:rPr>
            <w:rStyle w:val="Hyperlink"/>
            <w:rFonts w:cs="Arial"/>
            <w:noProof/>
          </w:rPr>
          <w:t>Prüfbericht: Erfüllung der formalen Kriterien</w:t>
        </w:r>
        <w:r>
          <w:rPr>
            <w:noProof/>
            <w:webHidden/>
          </w:rPr>
          <w:tab/>
        </w:r>
        <w:r>
          <w:rPr>
            <w:noProof/>
            <w:webHidden/>
          </w:rPr>
          <w:fldChar w:fldCharType="begin"/>
        </w:r>
        <w:r>
          <w:rPr>
            <w:noProof/>
            <w:webHidden/>
          </w:rPr>
          <w:instrText xml:space="preserve"> PAGEREF _Toc190351687 \h </w:instrText>
        </w:r>
        <w:r>
          <w:rPr>
            <w:noProof/>
            <w:webHidden/>
          </w:rPr>
        </w:r>
        <w:r>
          <w:rPr>
            <w:noProof/>
            <w:webHidden/>
          </w:rPr>
          <w:fldChar w:fldCharType="separate"/>
        </w:r>
        <w:r>
          <w:rPr>
            <w:noProof/>
            <w:webHidden/>
          </w:rPr>
          <w:t>7</w:t>
        </w:r>
        <w:r>
          <w:rPr>
            <w:noProof/>
            <w:webHidden/>
          </w:rPr>
          <w:fldChar w:fldCharType="end"/>
        </w:r>
      </w:hyperlink>
    </w:p>
    <w:p w14:paraId="67B8FA84" w14:textId="3432873A" w:rsidR="00BA4FDF" w:rsidRDefault="00BA4FDF">
      <w:pPr>
        <w:pStyle w:val="Verzeichnis2"/>
        <w:rPr>
          <w:rFonts w:eastAsiaTheme="minorEastAsia" w:cstheme="minorBidi"/>
          <w:i w:val="0"/>
          <w:iCs w:val="0"/>
          <w:noProof/>
          <w:sz w:val="22"/>
          <w:szCs w:val="22"/>
        </w:rPr>
      </w:pPr>
      <w:hyperlink w:anchor="_Toc190351688" w:history="1">
        <w:r w:rsidRPr="008D6DD0">
          <w:rPr>
            <w:rStyle w:val="Hyperlink"/>
            <w:noProof/>
          </w:rPr>
          <w:t>Studienstruktur und Studiendauer (§ 3 StudAkkV)</w:t>
        </w:r>
        <w:r>
          <w:rPr>
            <w:noProof/>
            <w:webHidden/>
          </w:rPr>
          <w:tab/>
        </w:r>
        <w:r>
          <w:rPr>
            <w:noProof/>
            <w:webHidden/>
          </w:rPr>
          <w:fldChar w:fldCharType="begin"/>
        </w:r>
        <w:r>
          <w:rPr>
            <w:noProof/>
            <w:webHidden/>
          </w:rPr>
          <w:instrText xml:space="preserve"> PAGEREF _Toc190351688 \h </w:instrText>
        </w:r>
        <w:r>
          <w:rPr>
            <w:noProof/>
            <w:webHidden/>
          </w:rPr>
        </w:r>
        <w:r>
          <w:rPr>
            <w:noProof/>
            <w:webHidden/>
          </w:rPr>
          <w:fldChar w:fldCharType="separate"/>
        </w:r>
        <w:r>
          <w:rPr>
            <w:noProof/>
            <w:webHidden/>
          </w:rPr>
          <w:t>7</w:t>
        </w:r>
        <w:r>
          <w:rPr>
            <w:noProof/>
            <w:webHidden/>
          </w:rPr>
          <w:fldChar w:fldCharType="end"/>
        </w:r>
      </w:hyperlink>
    </w:p>
    <w:p w14:paraId="3E6F8F84" w14:textId="12CF9852" w:rsidR="00BA4FDF" w:rsidRDefault="00BA4FDF">
      <w:pPr>
        <w:pStyle w:val="Verzeichnis2"/>
        <w:rPr>
          <w:rFonts w:eastAsiaTheme="minorEastAsia" w:cstheme="minorBidi"/>
          <w:i w:val="0"/>
          <w:iCs w:val="0"/>
          <w:noProof/>
          <w:sz w:val="22"/>
          <w:szCs w:val="22"/>
        </w:rPr>
      </w:pPr>
      <w:hyperlink w:anchor="_Toc190351689" w:history="1">
        <w:r w:rsidRPr="008D6DD0">
          <w:rPr>
            <w:rStyle w:val="Hyperlink"/>
            <w:noProof/>
          </w:rPr>
          <w:t>Studiengangsprofile (§ 4 StudAkkV)</w:t>
        </w:r>
        <w:r>
          <w:rPr>
            <w:noProof/>
            <w:webHidden/>
          </w:rPr>
          <w:tab/>
        </w:r>
        <w:r>
          <w:rPr>
            <w:noProof/>
            <w:webHidden/>
          </w:rPr>
          <w:fldChar w:fldCharType="begin"/>
        </w:r>
        <w:r>
          <w:rPr>
            <w:noProof/>
            <w:webHidden/>
          </w:rPr>
          <w:instrText xml:space="preserve"> PAGEREF _Toc190351689 \h </w:instrText>
        </w:r>
        <w:r>
          <w:rPr>
            <w:noProof/>
            <w:webHidden/>
          </w:rPr>
        </w:r>
        <w:r>
          <w:rPr>
            <w:noProof/>
            <w:webHidden/>
          </w:rPr>
          <w:fldChar w:fldCharType="separate"/>
        </w:r>
        <w:r>
          <w:rPr>
            <w:noProof/>
            <w:webHidden/>
          </w:rPr>
          <w:t>7</w:t>
        </w:r>
        <w:r>
          <w:rPr>
            <w:noProof/>
            <w:webHidden/>
          </w:rPr>
          <w:fldChar w:fldCharType="end"/>
        </w:r>
      </w:hyperlink>
    </w:p>
    <w:p w14:paraId="58E19491" w14:textId="7D6E7936" w:rsidR="00BA4FDF" w:rsidRDefault="00BA4FDF">
      <w:pPr>
        <w:pStyle w:val="Verzeichnis2"/>
        <w:rPr>
          <w:rFonts w:eastAsiaTheme="minorEastAsia" w:cstheme="minorBidi"/>
          <w:i w:val="0"/>
          <w:iCs w:val="0"/>
          <w:noProof/>
          <w:sz w:val="22"/>
          <w:szCs w:val="22"/>
        </w:rPr>
      </w:pPr>
      <w:hyperlink w:anchor="_Toc190351690" w:history="1">
        <w:r w:rsidRPr="008D6DD0">
          <w:rPr>
            <w:rStyle w:val="Hyperlink"/>
            <w:noProof/>
          </w:rPr>
          <w:t>Zugangsvoraussetzungen und Übergänge zwischen Studienangeboten (§ 5 StudAkkV)</w:t>
        </w:r>
        <w:r>
          <w:rPr>
            <w:noProof/>
            <w:webHidden/>
          </w:rPr>
          <w:tab/>
        </w:r>
        <w:r>
          <w:rPr>
            <w:noProof/>
            <w:webHidden/>
          </w:rPr>
          <w:fldChar w:fldCharType="begin"/>
        </w:r>
        <w:r>
          <w:rPr>
            <w:noProof/>
            <w:webHidden/>
          </w:rPr>
          <w:instrText xml:space="preserve"> PAGEREF _Toc190351690 \h </w:instrText>
        </w:r>
        <w:r>
          <w:rPr>
            <w:noProof/>
            <w:webHidden/>
          </w:rPr>
        </w:r>
        <w:r>
          <w:rPr>
            <w:noProof/>
            <w:webHidden/>
          </w:rPr>
          <w:fldChar w:fldCharType="separate"/>
        </w:r>
        <w:r>
          <w:rPr>
            <w:noProof/>
            <w:webHidden/>
          </w:rPr>
          <w:t>7</w:t>
        </w:r>
        <w:r>
          <w:rPr>
            <w:noProof/>
            <w:webHidden/>
          </w:rPr>
          <w:fldChar w:fldCharType="end"/>
        </w:r>
      </w:hyperlink>
    </w:p>
    <w:p w14:paraId="610D61CE" w14:textId="71E6640E" w:rsidR="00BA4FDF" w:rsidRDefault="00BA4FDF">
      <w:pPr>
        <w:pStyle w:val="Verzeichnis2"/>
        <w:rPr>
          <w:rFonts w:eastAsiaTheme="minorEastAsia" w:cstheme="minorBidi"/>
          <w:i w:val="0"/>
          <w:iCs w:val="0"/>
          <w:noProof/>
          <w:sz w:val="22"/>
          <w:szCs w:val="22"/>
        </w:rPr>
      </w:pPr>
      <w:hyperlink w:anchor="_Toc190351691" w:history="1">
        <w:r w:rsidRPr="008D6DD0">
          <w:rPr>
            <w:rStyle w:val="Hyperlink"/>
            <w:noProof/>
          </w:rPr>
          <w:t>Abschlüsse und Abschlussbezeichnungen (§ 6 StudAkkV)</w:t>
        </w:r>
        <w:r>
          <w:rPr>
            <w:noProof/>
            <w:webHidden/>
          </w:rPr>
          <w:tab/>
        </w:r>
        <w:r>
          <w:rPr>
            <w:noProof/>
            <w:webHidden/>
          </w:rPr>
          <w:fldChar w:fldCharType="begin"/>
        </w:r>
        <w:r>
          <w:rPr>
            <w:noProof/>
            <w:webHidden/>
          </w:rPr>
          <w:instrText xml:space="preserve"> PAGEREF _Toc190351691 \h </w:instrText>
        </w:r>
        <w:r>
          <w:rPr>
            <w:noProof/>
            <w:webHidden/>
          </w:rPr>
        </w:r>
        <w:r>
          <w:rPr>
            <w:noProof/>
            <w:webHidden/>
          </w:rPr>
          <w:fldChar w:fldCharType="separate"/>
        </w:r>
        <w:r>
          <w:rPr>
            <w:noProof/>
            <w:webHidden/>
          </w:rPr>
          <w:t>8</w:t>
        </w:r>
        <w:r>
          <w:rPr>
            <w:noProof/>
            <w:webHidden/>
          </w:rPr>
          <w:fldChar w:fldCharType="end"/>
        </w:r>
      </w:hyperlink>
    </w:p>
    <w:p w14:paraId="596E0196" w14:textId="6B2F88D0" w:rsidR="00BA4FDF" w:rsidRDefault="00BA4FDF">
      <w:pPr>
        <w:pStyle w:val="Verzeichnis2"/>
        <w:rPr>
          <w:rFonts w:eastAsiaTheme="minorEastAsia" w:cstheme="minorBidi"/>
          <w:i w:val="0"/>
          <w:iCs w:val="0"/>
          <w:noProof/>
          <w:sz w:val="22"/>
          <w:szCs w:val="22"/>
        </w:rPr>
      </w:pPr>
      <w:hyperlink w:anchor="_Toc190351692" w:history="1">
        <w:r w:rsidRPr="008D6DD0">
          <w:rPr>
            <w:rStyle w:val="Hyperlink"/>
            <w:noProof/>
          </w:rPr>
          <w:t>Modularisierung (§ 7 StudAkkV)</w:t>
        </w:r>
        <w:r>
          <w:rPr>
            <w:noProof/>
            <w:webHidden/>
          </w:rPr>
          <w:tab/>
        </w:r>
        <w:r>
          <w:rPr>
            <w:noProof/>
            <w:webHidden/>
          </w:rPr>
          <w:fldChar w:fldCharType="begin"/>
        </w:r>
        <w:r>
          <w:rPr>
            <w:noProof/>
            <w:webHidden/>
          </w:rPr>
          <w:instrText xml:space="preserve"> PAGEREF _Toc190351692 \h </w:instrText>
        </w:r>
        <w:r>
          <w:rPr>
            <w:noProof/>
            <w:webHidden/>
          </w:rPr>
        </w:r>
        <w:r>
          <w:rPr>
            <w:noProof/>
            <w:webHidden/>
          </w:rPr>
          <w:fldChar w:fldCharType="separate"/>
        </w:r>
        <w:r>
          <w:rPr>
            <w:noProof/>
            <w:webHidden/>
          </w:rPr>
          <w:t>9</w:t>
        </w:r>
        <w:r>
          <w:rPr>
            <w:noProof/>
            <w:webHidden/>
          </w:rPr>
          <w:fldChar w:fldCharType="end"/>
        </w:r>
      </w:hyperlink>
    </w:p>
    <w:p w14:paraId="6C3FCAF4" w14:textId="4FBA93E5" w:rsidR="00BA4FDF" w:rsidRDefault="00BA4FDF">
      <w:pPr>
        <w:pStyle w:val="Verzeichnis2"/>
        <w:rPr>
          <w:rFonts w:eastAsiaTheme="minorEastAsia" w:cstheme="minorBidi"/>
          <w:i w:val="0"/>
          <w:iCs w:val="0"/>
          <w:noProof/>
          <w:sz w:val="22"/>
          <w:szCs w:val="22"/>
        </w:rPr>
      </w:pPr>
      <w:hyperlink w:anchor="_Toc190351693" w:history="1">
        <w:r w:rsidRPr="008D6DD0">
          <w:rPr>
            <w:rStyle w:val="Hyperlink"/>
            <w:noProof/>
          </w:rPr>
          <w:t>Leistungspunktesystem (§ 8 StudAkkV)</w:t>
        </w:r>
        <w:r>
          <w:rPr>
            <w:noProof/>
            <w:webHidden/>
          </w:rPr>
          <w:tab/>
        </w:r>
        <w:r>
          <w:rPr>
            <w:noProof/>
            <w:webHidden/>
          </w:rPr>
          <w:fldChar w:fldCharType="begin"/>
        </w:r>
        <w:r>
          <w:rPr>
            <w:noProof/>
            <w:webHidden/>
          </w:rPr>
          <w:instrText xml:space="preserve"> PAGEREF _Toc190351693 \h </w:instrText>
        </w:r>
        <w:r>
          <w:rPr>
            <w:noProof/>
            <w:webHidden/>
          </w:rPr>
        </w:r>
        <w:r>
          <w:rPr>
            <w:noProof/>
            <w:webHidden/>
          </w:rPr>
          <w:fldChar w:fldCharType="separate"/>
        </w:r>
        <w:r>
          <w:rPr>
            <w:noProof/>
            <w:webHidden/>
          </w:rPr>
          <w:t>9</w:t>
        </w:r>
        <w:r>
          <w:rPr>
            <w:noProof/>
            <w:webHidden/>
          </w:rPr>
          <w:fldChar w:fldCharType="end"/>
        </w:r>
      </w:hyperlink>
    </w:p>
    <w:p w14:paraId="6659EF52" w14:textId="782ED74D" w:rsidR="00BA4FDF" w:rsidRDefault="00BA4FDF">
      <w:pPr>
        <w:pStyle w:val="Verzeichnis2"/>
        <w:rPr>
          <w:rFonts w:eastAsiaTheme="minorEastAsia" w:cstheme="minorBidi"/>
          <w:i w:val="0"/>
          <w:iCs w:val="0"/>
          <w:noProof/>
          <w:sz w:val="22"/>
          <w:szCs w:val="22"/>
        </w:rPr>
      </w:pPr>
      <w:hyperlink w:anchor="_Toc190351694" w:history="1">
        <w:r w:rsidRPr="008D6DD0">
          <w:rPr>
            <w:rStyle w:val="Hyperlink"/>
            <w:noProof/>
          </w:rPr>
          <w:t>Anerkennung und Anrechnung (Art. 2 Abs. 2 StAkkrStV)</w:t>
        </w:r>
        <w:r>
          <w:rPr>
            <w:noProof/>
            <w:webHidden/>
          </w:rPr>
          <w:tab/>
        </w:r>
        <w:r>
          <w:rPr>
            <w:noProof/>
            <w:webHidden/>
          </w:rPr>
          <w:fldChar w:fldCharType="begin"/>
        </w:r>
        <w:r>
          <w:rPr>
            <w:noProof/>
            <w:webHidden/>
          </w:rPr>
          <w:instrText xml:space="preserve"> PAGEREF _Toc190351694 \h </w:instrText>
        </w:r>
        <w:r>
          <w:rPr>
            <w:noProof/>
            <w:webHidden/>
          </w:rPr>
        </w:r>
        <w:r>
          <w:rPr>
            <w:noProof/>
            <w:webHidden/>
          </w:rPr>
          <w:fldChar w:fldCharType="separate"/>
        </w:r>
        <w:r>
          <w:rPr>
            <w:noProof/>
            <w:webHidden/>
          </w:rPr>
          <w:t>10</w:t>
        </w:r>
        <w:r>
          <w:rPr>
            <w:noProof/>
            <w:webHidden/>
          </w:rPr>
          <w:fldChar w:fldCharType="end"/>
        </w:r>
      </w:hyperlink>
    </w:p>
    <w:p w14:paraId="233F0039" w14:textId="7C35E932" w:rsidR="00BA4FDF" w:rsidRDefault="00BA4FDF">
      <w:pPr>
        <w:pStyle w:val="Verzeichnis2"/>
        <w:rPr>
          <w:rFonts w:eastAsiaTheme="minorEastAsia" w:cstheme="minorBidi"/>
          <w:i w:val="0"/>
          <w:iCs w:val="0"/>
          <w:noProof/>
          <w:sz w:val="22"/>
          <w:szCs w:val="22"/>
        </w:rPr>
      </w:pPr>
      <w:hyperlink w:anchor="_Toc190351695" w:history="1">
        <w:r w:rsidRPr="008D6DD0">
          <w:rPr>
            <w:rStyle w:val="Hyperlink"/>
            <w:noProof/>
          </w:rPr>
          <w:t>Besondere Kriterien für Kooperationen mit nichthochschulischen Einrichtungen (§ 9 StudAkkV)</w:t>
        </w:r>
        <w:r>
          <w:rPr>
            <w:noProof/>
            <w:webHidden/>
          </w:rPr>
          <w:tab/>
        </w:r>
        <w:r>
          <w:rPr>
            <w:noProof/>
            <w:webHidden/>
          </w:rPr>
          <w:fldChar w:fldCharType="begin"/>
        </w:r>
        <w:r>
          <w:rPr>
            <w:noProof/>
            <w:webHidden/>
          </w:rPr>
          <w:instrText xml:space="preserve"> PAGEREF _Toc190351695 \h </w:instrText>
        </w:r>
        <w:r>
          <w:rPr>
            <w:noProof/>
            <w:webHidden/>
          </w:rPr>
        </w:r>
        <w:r>
          <w:rPr>
            <w:noProof/>
            <w:webHidden/>
          </w:rPr>
          <w:fldChar w:fldCharType="separate"/>
        </w:r>
        <w:r>
          <w:rPr>
            <w:noProof/>
            <w:webHidden/>
          </w:rPr>
          <w:t>10</w:t>
        </w:r>
        <w:r>
          <w:rPr>
            <w:noProof/>
            <w:webHidden/>
          </w:rPr>
          <w:fldChar w:fldCharType="end"/>
        </w:r>
      </w:hyperlink>
    </w:p>
    <w:p w14:paraId="42F83F9B" w14:textId="002CC962" w:rsidR="00BA4FDF" w:rsidRDefault="00BA4FDF">
      <w:pPr>
        <w:pStyle w:val="Verzeichnis2"/>
        <w:rPr>
          <w:rFonts w:eastAsiaTheme="minorEastAsia" w:cstheme="minorBidi"/>
          <w:i w:val="0"/>
          <w:iCs w:val="0"/>
          <w:noProof/>
          <w:sz w:val="22"/>
          <w:szCs w:val="22"/>
        </w:rPr>
      </w:pPr>
      <w:hyperlink w:anchor="_Toc190351696" w:history="1">
        <w:r w:rsidRPr="008D6DD0">
          <w:rPr>
            <w:rStyle w:val="Hyperlink"/>
            <w:noProof/>
          </w:rPr>
          <w:t>Sonderregelungen für Joint-Degree-Programme (§ 10 StudAkkV)</w:t>
        </w:r>
        <w:r>
          <w:rPr>
            <w:noProof/>
            <w:webHidden/>
          </w:rPr>
          <w:tab/>
        </w:r>
        <w:r>
          <w:rPr>
            <w:noProof/>
            <w:webHidden/>
          </w:rPr>
          <w:fldChar w:fldCharType="begin"/>
        </w:r>
        <w:r>
          <w:rPr>
            <w:noProof/>
            <w:webHidden/>
          </w:rPr>
          <w:instrText xml:space="preserve"> PAGEREF _Toc190351696 \h </w:instrText>
        </w:r>
        <w:r>
          <w:rPr>
            <w:noProof/>
            <w:webHidden/>
          </w:rPr>
        </w:r>
        <w:r>
          <w:rPr>
            <w:noProof/>
            <w:webHidden/>
          </w:rPr>
          <w:fldChar w:fldCharType="separate"/>
        </w:r>
        <w:r>
          <w:rPr>
            <w:noProof/>
            <w:webHidden/>
          </w:rPr>
          <w:t>10</w:t>
        </w:r>
        <w:r>
          <w:rPr>
            <w:noProof/>
            <w:webHidden/>
          </w:rPr>
          <w:fldChar w:fldCharType="end"/>
        </w:r>
      </w:hyperlink>
    </w:p>
    <w:p w14:paraId="48AD004A" w14:textId="3C24D57A" w:rsidR="00BA4FDF" w:rsidRDefault="00BA4FDF">
      <w:pPr>
        <w:pStyle w:val="Verzeichnis1"/>
        <w:tabs>
          <w:tab w:val="left" w:pos="440"/>
          <w:tab w:val="right" w:leader="dot" w:pos="9344"/>
        </w:tabs>
        <w:rPr>
          <w:rFonts w:eastAsiaTheme="minorEastAsia" w:cstheme="minorBidi"/>
          <w:b w:val="0"/>
          <w:bCs w:val="0"/>
          <w:noProof/>
          <w:sz w:val="22"/>
          <w:szCs w:val="22"/>
        </w:rPr>
      </w:pPr>
      <w:hyperlink w:anchor="_Toc190351697" w:history="1">
        <w:r w:rsidRPr="008D6DD0">
          <w:rPr>
            <w:rStyle w:val="Hyperlink"/>
            <w:noProof/>
          </w:rPr>
          <w:t>2</w:t>
        </w:r>
        <w:r>
          <w:rPr>
            <w:rFonts w:eastAsiaTheme="minorEastAsia" w:cstheme="minorBidi"/>
            <w:b w:val="0"/>
            <w:bCs w:val="0"/>
            <w:noProof/>
            <w:sz w:val="22"/>
            <w:szCs w:val="22"/>
          </w:rPr>
          <w:tab/>
        </w:r>
        <w:r w:rsidRPr="008D6DD0">
          <w:rPr>
            <w:rStyle w:val="Hyperlink"/>
            <w:rFonts w:cs="Arial"/>
            <w:noProof/>
          </w:rPr>
          <w:t>Gutachten: Erfüllung der fachlich-inhaltlichen Kriterien</w:t>
        </w:r>
        <w:r>
          <w:rPr>
            <w:noProof/>
            <w:webHidden/>
          </w:rPr>
          <w:tab/>
        </w:r>
        <w:r>
          <w:rPr>
            <w:noProof/>
            <w:webHidden/>
          </w:rPr>
          <w:fldChar w:fldCharType="begin"/>
        </w:r>
        <w:r>
          <w:rPr>
            <w:noProof/>
            <w:webHidden/>
          </w:rPr>
          <w:instrText xml:space="preserve"> PAGEREF _Toc190351697 \h </w:instrText>
        </w:r>
        <w:r>
          <w:rPr>
            <w:noProof/>
            <w:webHidden/>
          </w:rPr>
        </w:r>
        <w:r>
          <w:rPr>
            <w:noProof/>
            <w:webHidden/>
          </w:rPr>
          <w:fldChar w:fldCharType="separate"/>
        </w:r>
        <w:r>
          <w:rPr>
            <w:noProof/>
            <w:webHidden/>
          </w:rPr>
          <w:t>11</w:t>
        </w:r>
        <w:r>
          <w:rPr>
            <w:noProof/>
            <w:webHidden/>
          </w:rPr>
          <w:fldChar w:fldCharType="end"/>
        </w:r>
      </w:hyperlink>
    </w:p>
    <w:p w14:paraId="2FF0EEB3" w14:textId="3B4F6F78" w:rsidR="00BA4FDF" w:rsidRDefault="00BA4FDF">
      <w:pPr>
        <w:pStyle w:val="Verzeichnis2"/>
        <w:tabs>
          <w:tab w:val="left" w:pos="880"/>
        </w:tabs>
        <w:rPr>
          <w:rFonts w:eastAsiaTheme="minorEastAsia" w:cstheme="minorBidi"/>
          <w:i w:val="0"/>
          <w:iCs w:val="0"/>
          <w:noProof/>
          <w:sz w:val="22"/>
          <w:szCs w:val="22"/>
        </w:rPr>
      </w:pPr>
      <w:hyperlink w:anchor="_Toc190351698" w:history="1">
        <w:r w:rsidRPr="008D6DD0">
          <w:rPr>
            <w:rStyle w:val="Hyperlink"/>
            <w:noProof/>
          </w:rPr>
          <w:t>2.1</w:t>
        </w:r>
        <w:r>
          <w:rPr>
            <w:rFonts w:eastAsiaTheme="minorEastAsia" w:cstheme="minorBidi"/>
            <w:i w:val="0"/>
            <w:iCs w:val="0"/>
            <w:noProof/>
            <w:sz w:val="22"/>
            <w:szCs w:val="22"/>
          </w:rPr>
          <w:tab/>
        </w:r>
        <w:r w:rsidRPr="008D6DD0">
          <w:rPr>
            <w:rStyle w:val="Hyperlink"/>
            <w:noProof/>
          </w:rPr>
          <w:t>Schwerpunkte der Bewertung / Fokus der Qualitätsentwicklung</w:t>
        </w:r>
        <w:r>
          <w:rPr>
            <w:noProof/>
            <w:webHidden/>
          </w:rPr>
          <w:tab/>
        </w:r>
        <w:r>
          <w:rPr>
            <w:noProof/>
            <w:webHidden/>
          </w:rPr>
          <w:fldChar w:fldCharType="begin"/>
        </w:r>
        <w:r>
          <w:rPr>
            <w:noProof/>
            <w:webHidden/>
          </w:rPr>
          <w:instrText xml:space="preserve"> PAGEREF _Toc190351698 \h </w:instrText>
        </w:r>
        <w:r>
          <w:rPr>
            <w:noProof/>
            <w:webHidden/>
          </w:rPr>
        </w:r>
        <w:r>
          <w:rPr>
            <w:noProof/>
            <w:webHidden/>
          </w:rPr>
          <w:fldChar w:fldCharType="separate"/>
        </w:r>
        <w:r>
          <w:rPr>
            <w:noProof/>
            <w:webHidden/>
          </w:rPr>
          <w:t>11</w:t>
        </w:r>
        <w:r>
          <w:rPr>
            <w:noProof/>
            <w:webHidden/>
          </w:rPr>
          <w:fldChar w:fldCharType="end"/>
        </w:r>
      </w:hyperlink>
    </w:p>
    <w:p w14:paraId="49021E5F" w14:textId="4DA4D692" w:rsidR="00BA4FDF" w:rsidRDefault="00BA4FDF">
      <w:pPr>
        <w:pStyle w:val="Verzeichnis2"/>
        <w:tabs>
          <w:tab w:val="left" w:pos="880"/>
        </w:tabs>
        <w:rPr>
          <w:rFonts w:eastAsiaTheme="minorEastAsia" w:cstheme="minorBidi"/>
          <w:i w:val="0"/>
          <w:iCs w:val="0"/>
          <w:noProof/>
          <w:sz w:val="22"/>
          <w:szCs w:val="22"/>
        </w:rPr>
      </w:pPr>
      <w:hyperlink w:anchor="_Toc190351699" w:history="1">
        <w:r w:rsidRPr="008D6DD0">
          <w:rPr>
            <w:rStyle w:val="Hyperlink"/>
            <w:noProof/>
          </w:rPr>
          <w:t>2.2</w:t>
        </w:r>
        <w:r>
          <w:rPr>
            <w:rFonts w:eastAsiaTheme="minorEastAsia" w:cstheme="minorBidi"/>
            <w:i w:val="0"/>
            <w:iCs w:val="0"/>
            <w:noProof/>
            <w:sz w:val="22"/>
            <w:szCs w:val="22"/>
          </w:rPr>
          <w:tab/>
        </w:r>
        <w:r w:rsidRPr="008D6DD0">
          <w:rPr>
            <w:rStyle w:val="Hyperlink"/>
            <w:noProof/>
          </w:rPr>
          <w:t>Erfüllung der fachlich-inhaltlichen Kriterien</w:t>
        </w:r>
        <w:r>
          <w:rPr>
            <w:noProof/>
            <w:webHidden/>
          </w:rPr>
          <w:tab/>
        </w:r>
        <w:r>
          <w:rPr>
            <w:noProof/>
            <w:webHidden/>
          </w:rPr>
          <w:fldChar w:fldCharType="begin"/>
        </w:r>
        <w:r>
          <w:rPr>
            <w:noProof/>
            <w:webHidden/>
          </w:rPr>
          <w:instrText xml:space="preserve"> PAGEREF _Toc190351699 \h </w:instrText>
        </w:r>
        <w:r>
          <w:rPr>
            <w:noProof/>
            <w:webHidden/>
          </w:rPr>
        </w:r>
        <w:r>
          <w:rPr>
            <w:noProof/>
            <w:webHidden/>
          </w:rPr>
          <w:fldChar w:fldCharType="separate"/>
        </w:r>
        <w:r>
          <w:rPr>
            <w:noProof/>
            <w:webHidden/>
          </w:rPr>
          <w:t>11</w:t>
        </w:r>
        <w:r>
          <w:rPr>
            <w:noProof/>
            <w:webHidden/>
          </w:rPr>
          <w:fldChar w:fldCharType="end"/>
        </w:r>
      </w:hyperlink>
    </w:p>
    <w:p w14:paraId="7153F814" w14:textId="432E55CC" w:rsidR="00BA4FDF" w:rsidRDefault="00BA4FDF">
      <w:pPr>
        <w:pStyle w:val="Verzeichnis3"/>
        <w:tabs>
          <w:tab w:val="right" w:leader="dot" w:pos="9344"/>
        </w:tabs>
        <w:rPr>
          <w:rFonts w:eastAsiaTheme="minorEastAsia" w:cstheme="minorBidi"/>
          <w:noProof/>
          <w:sz w:val="22"/>
          <w:szCs w:val="22"/>
        </w:rPr>
      </w:pPr>
      <w:hyperlink w:anchor="_Toc190351700" w:history="1">
        <w:r w:rsidRPr="008D6DD0">
          <w:rPr>
            <w:rStyle w:val="Hyperlink"/>
            <w:noProof/>
          </w:rPr>
          <w:t>Qualifikationsziele und Abschlussniveau (§ 11 StudAkkV)</w:t>
        </w:r>
        <w:r>
          <w:rPr>
            <w:noProof/>
            <w:webHidden/>
          </w:rPr>
          <w:tab/>
        </w:r>
        <w:r>
          <w:rPr>
            <w:noProof/>
            <w:webHidden/>
          </w:rPr>
          <w:fldChar w:fldCharType="begin"/>
        </w:r>
        <w:r>
          <w:rPr>
            <w:noProof/>
            <w:webHidden/>
          </w:rPr>
          <w:instrText xml:space="preserve"> PAGEREF _Toc190351700 \h </w:instrText>
        </w:r>
        <w:r>
          <w:rPr>
            <w:noProof/>
            <w:webHidden/>
          </w:rPr>
        </w:r>
        <w:r>
          <w:rPr>
            <w:noProof/>
            <w:webHidden/>
          </w:rPr>
          <w:fldChar w:fldCharType="separate"/>
        </w:r>
        <w:r>
          <w:rPr>
            <w:noProof/>
            <w:webHidden/>
          </w:rPr>
          <w:t>11</w:t>
        </w:r>
        <w:r>
          <w:rPr>
            <w:noProof/>
            <w:webHidden/>
          </w:rPr>
          <w:fldChar w:fldCharType="end"/>
        </w:r>
      </w:hyperlink>
    </w:p>
    <w:p w14:paraId="3D6101BD" w14:textId="7CB60AB9" w:rsidR="00BA4FDF" w:rsidRDefault="00BA4FDF">
      <w:pPr>
        <w:pStyle w:val="Verzeichnis3"/>
        <w:tabs>
          <w:tab w:val="right" w:leader="dot" w:pos="9344"/>
        </w:tabs>
        <w:rPr>
          <w:rFonts w:eastAsiaTheme="minorEastAsia" w:cstheme="minorBidi"/>
          <w:noProof/>
          <w:sz w:val="22"/>
          <w:szCs w:val="22"/>
        </w:rPr>
      </w:pPr>
      <w:hyperlink w:anchor="_Toc190351701" w:history="1">
        <w:r w:rsidRPr="008D6DD0">
          <w:rPr>
            <w:rStyle w:val="Hyperlink"/>
            <w:noProof/>
          </w:rPr>
          <w:t>Schlüssiges Studiengangskonzept und adäquate Umsetzung (§ 12 StudAkkV)</w:t>
        </w:r>
        <w:r>
          <w:rPr>
            <w:noProof/>
            <w:webHidden/>
          </w:rPr>
          <w:tab/>
        </w:r>
        <w:r>
          <w:rPr>
            <w:noProof/>
            <w:webHidden/>
          </w:rPr>
          <w:fldChar w:fldCharType="begin"/>
        </w:r>
        <w:r>
          <w:rPr>
            <w:noProof/>
            <w:webHidden/>
          </w:rPr>
          <w:instrText xml:space="preserve"> PAGEREF _Toc190351701 \h </w:instrText>
        </w:r>
        <w:r>
          <w:rPr>
            <w:noProof/>
            <w:webHidden/>
          </w:rPr>
        </w:r>
        <w:r>
          <w:rPr>
            <w:noProof/>
            <w:webHidden/>
          </w:rPr>
          <w:fldChar w:fldCharType="separate"/>
        </w:r>
        <w:r>
          <w:rPr>
            <w:noProof/>
            <w:webHidden/>
          </w:rPr>
          <w:t>13</w:t>
        </w:r>
        <w:r>
          <w:rPr>
            <w:noProof/>
            <w:webHidden/>
          </w:rPr>
          <w:fldChar w:fldCharType="end"/>
        </w:r>
      </w:hyperlink>
    </w:p>
    <w:p w14:paraId="4D8C8DD8" w14:textId="425F9F16" w:rsidR="00BA4FDF" w:rsidRDefault="00BA4FDF">
      <w:pPr>
        <w:pStyle w:val="Verzeichnis4"/>
        <w:tabs>
          <w:tab w:val="right" w:leader="dot" w:pos="9344"/>
        </w:tabs>
        <w:rPr>
          <w:rFonts w:eastAsiaTheme="minorEastAsia" w:cstheme="minorBidi"/>
          <w:noProof/>
          <w:sz w:val="22"/>
          <w:szCs w:val="22"/>
        </w:rPr>
      </w:pPr>
      <w:hyperlink w:anchor="_Toc190351702" w:history="1">
        <w:r w:rsidRPr="008D6DD0">
          <w:rPr>
            <w:rStyle w:val="Hyperlink"/>
            <w:noProof/>
          </w:rPr>
          <w:t>Curriculum (</w:t>
        </w:r>
        <w:r w:rsidRPr="008D6DD0">
          <w:rPr>
            <w:rStyle w:val="Hyperlink"/>
            <w:rFonts w:cs="Arial"/>
            <w:noProof/>
          </w:rPr>
          <w:t>§ 12 Abs. 1 Sätze 1 bis 3 und 5 StudAkkV)</w:t>
        </w:r>
        <w:r>
          <w:rPr>
            <w:noProof/>
            <w:webHidden/>
          </w:rPr>
          <w:tab/>
        </w:r>
        <w:r>
          <w:rPr>
            <w:noProof/>
            <w:webHidden/>
          </w:rPr>
          <w:fldChar w:fldCharType="begin"/>
        </w:r>
        <w:r>
          <w:rPr>
            <w:noProof/>
            <w:webHidden/>
          </w:rPr>
          <w:instrText xml:space="preserve"> PAGEREF _Toc190351702 \h </w:instrText>
        </w:r>
        <w:r>
          <w:rPr>
            <w:noProof/>
            <w:webHidden/>
          </w:rPr>
        </w:r>
        <w:r>
          <w:rPr>
            <w:noProof/>
            <w:webHidden/>
          </w:rPr>
          <w:fldChar w:fldCharType="separate"/>
        </w:r>
        <w:r>
          <w:rPr>
            <w:noProof/>
            <w:webHidden/>
          </w:rPr>
          <w:t>13</w:t>
        </w:r>
        <w:r>
          <w:rPr>
            <w:noProof/>
            <w:webHidden/>
          </w:rPr>
          <w:fldChar w:fldCharType="end"/>
        </w:r>
      </w:hyperlink>
    </w:p>
    <w:p w14:paraId="242A7DAC" w14:textId="1C762B8A" w:rsidR="00BA4FDF" w:rsidRDefault="00BA4FDF">
      <w:pPr>
        <w:pStyle w:val="Verzeichnis4"/>
        <w:tabs>
          <w:tab w:val="right" w:leader="dot" w:pos="9344"/>
        </w:tabs>
        <w:rPr>
          <w:rFonts w:eastAsiaTheme="minorEastAsia" w:cstheme="minorBidi"/>
          <w:noProof/>
          <w:sz w:val="22"/>
          <w:szCs w:val="22"/>
        </w:rPr>
      </w:pPr>
      <w:hyperlink w:anchor="_Toc190351703" w:history="1">
        <w:r w:rsidRPr="008D6DD0">
          <w:rPr>
            <w:rStyle w:val="Hyperlink"/>
            <w:noProof/>
          </w:rPr>
          <w:t>Mobilität (</w:t>
        </w:r>
        <w:r w:rsidRPr="008D6DD0">
          <w:rPr>
            <w:rStyle w:val="Hyperlink"/>
            <w:rFonts w:cs="Arial"/>
            <w:noProof/>
          </w:rPr>
          <w:t>§ 12 Abs. 1 Satz 4 StudAkkV)</w:t>
        </w:r>
        <w:r>
          <w:rPr>
            <w:noProof/>
            <w:webHidden/>
          </w:rPr>
          <w:tab/>
        </w:r>
        <w:r>
          <w:rPr>
            <w:noProof/>
            <w:webHidden/>
          </w:rPr>
          <w:fldChar w:fldCharType="begin"/>
        </w:r>
        <w:r>
          <w:rPr>
            <w:noProof/>
            <w:webHidden/>
          </w:rPr>
          <w:instrText xml:space="preserve"> PAGEREF _Toc190351703 \h </w:instrText>
        </w:r>
        <w:r>
          <w:rPr>
            <w:noProof/>
            <w:webHidden/>
          </w:rPr>
        </w:r>
        <w:r>
          <w:rPr>
            <w:noProof/>
            <w:webHidden/>
          </w:rPr>
          <w:fldChar w:fldCharType="separate"/>
        </w:r>
        <w:r>
          <w:rPr>
            <w:noProof/>
            <w:webHidden/>
          </w:rPr>
          <w:t>18</w:t>
        </w:r>
        <w:r>
          <w:rPr>
            <w:noProof/>
            <w:webHidden/>
          </w:rPr>
          <w:fldChar w:fldCharType="end"/>
        </w:r>
      </w:hyperlink>
    </w:p>
    <w:p w14:paraId="0D240009" w14:textId="5B7F6F72" w:rsidR="00BA4FDF" w:rsidRDefault="00BA4FDF">
      <w:pPr>
        <w:pStyle w:val="Verzeichnis4"/>
        <w:tabs>
          <w:tab w:val="right" w:leader="dot" w:pos="9344"/>
        </w:tabs>
        <w:rPr>
          <w:rFonts w:eastAsiaTheme="minorEastAsia" w:cstheme="minorBidi"/>
          <w:noProof/>
          <w:sz w:val="22"/>
          <w:szCs w:val="22"/>
        </w:rPr>
      </w:pPr>
      <w:hyperlink w:anchor="_Toc190351704" w:history="1">
        <w:r w:rsidRPr="008D6DD0">
          <w:rPr>
            <w:rStyle w:val="Hyperlink"/>
            <w:noProof/>
          </w:rPr>
          <w:t>Personelle Ausstattung (</w:t>
        </w:r>
        <w:r w:rsidRPr="008D6DD0">
          <w:rPr>
            <w:rStyle w:val="Hyperlink"/>
            <w:rFonts w:cs="Arial"/>
            <w:noProof/>
          </w:rPr>
          <w:t>§ 12 Abs. 2 StudAkkV)</w:t>
        </w:r>
        <w:r>
          <w:rPr>
            <w:noProof/>
            <w:webHidden/>
          </w:rPr>
          <w:tab/>
        </w:r>
        <w:r>
          <w:rPr>
            <w:noProof/>
            <w:webHidden/>
          </w:rPr>
          <w:fldChar w:fldCharType="begin"/>
        </w:r>
        <w:r>
          <w:rPr>
            <w:noProof/>
            <w:webHidden/>
          </w:rPr>
          <w:instrText xml:space="preserve"> PAGEREF _Toc190351704 \h </w:instrText>
        </w:r>
        <w:r>
          <w:rPr>
            <w:noProof/>
            <w:webHidden/>
          </w:rPr>
        </w:r>
        <w:r>
          <w:rPr>
            <w:noProof/>
            <w:webHidden/>
          </w:rPr>
          <w:fldChar w:fldCharType="separate"/>
        </w:r>
        <w:r>
          <w:rPr>
            <w:noProof/>
            <w:webHidden/>
          </w:rPr>
          <w:t>19</w:t>
        </w:r>
        <w:r>
          <w:rPr>
            <w:noProof/>
            <w:webHidden/>
          </w:rPr>
          <w:fldChar w:fldCharType="end"/>
        </w:r>
      </w:hyperlink>
    </w:p>
    <w:p w14:paraId="392216DD" w14:textId="0833B227" w:rsidR="00BA4FDF" w:rsidRDefault="00BA4FDF">
      <w:pPr>
        <w:pStyle w:val="Verzeichnis4"/>
        <w:tabs>
          <w:tab w:val="right" w:leader="dot" w:pos="9344"/>
        </w:tabs>
        <w:rPr>
          <w:rFonts w:eastAsiaTheme="minorEastAsia" w:cstheme="minorBidi"/>
          <w:noProof/>
          <w:sz w:val="22"/>
          <w:szCs w:val="22"/>
        </w:rPr>
      </w:pPr>
      <w:hyperlink w:anchor="_Toc190351705" w:history="1">
        <w:r w:rsidRPr="008D6DD0">
          <w:rPr>
            <w:rStyle w:val="Hyperlink"/>
            <w:noProof/>
          </w:rPr>
          <w:t>Ressourcenausstattung (</w:t>
        </w:r>
        <w:r w:rsidRPr="008D6DD0">
          <w:rPr>
            <w:rStyle w:val="Hyperlink"/>
            <w:rFonts w:cs="Arial"/>
            <w:noProof/>
          </w:rPr>
          <w:t>§ 12 Abs. 3 StudAkkV)</w:t>
        </w:r>
        <w:r>
          <w:rPr>
            <w:noProof/>
            <w:webHidden/>
          </w:rPr>
          <w:tab/>
        </w:r>
        <w:r>
          <w:rPr>
            <w:noProof/>
            <w:webHidden/>
          </w:rPr>
          <w:fldChar w:fldCharType="begin"/>
        </w:r>
        <w:r>
          <w:rPr>
            <w:noProof/>
            <w:webHidden/>
          </w:rPr>
          <w:instrText xml:space="preserve"> PAGEREF _Toc190351705 \h </w:instrText>
        </w:r>
        <w:r>
          <w:rPr>
            <w:noProof/>
            <w:webHidden/>
          </w:rPr>
        </w:r>
        <w:r>
          <w:rPr>
            <w:noProof/>
            <w:webHidden/>
          </w:rPr>
          <w:fldChar w:fldCharType="separate"/>
        </w:r>
        <w:r>
          <w:rPr>
            <w:noProof/>
            <w:webHidden/>
          </w:rPr>
          <w:t>21</w:t>
        </w:r>
        <w:r>
          <w:rPr>
            <w:noProof/>
            <w:webHidden/>
          </w:rPr>
          <w:fldChar w:fldCharType="end"/>
        </w:r>
      </w:hyperlink>
    </w:p>
    <w:p w14:paraId="6BD3DB99" w14:textId="0F3F4E82" w:rsidR="00BA4FDF" w:rsidRDefault="00BA4FDF">
      <w:pPr>
        <w:pStyle w:val="Verzeichnis4"/>
        <w:tabs>
          <w:tab w:val="right" w:leader="dot" w:pos="9344"/>
        </w:tabs>
        <w:rPr>
          <w:rFonts w:eastAsiaTheme="minorEastAsia" w:cstheme="minorBidi"/>
          <w:noProof/>
          <w:sz w:val="22"/>
          <w:szCs w:val="22"/>
        </w:rPr>
      </w:pPr>
      <w:hyperlink w:anchor="_Toc190351706" w:history="1">
        <w:r w:rsidRPr="008D6DD0">
          <w:rPr>
            <w:rStyle w:val="Hyperlink"/>
            <w:noProof/>
          </w:rPr>
          <w:t>Prüfungssystem (</w:t>
        </w:r>
        <w:r w:rsidRPr="008D6DD0">
          <w:rPr>
            <w:rStyle w:val="Hyperlink"/>
            <w:rFonts w:cs="Arial"/>
            <w:noProof/>
          </w:rPr>
          <w:t>§ 12 Abs. 4 StudAkkV)</w:t>
        </w:r>
        <w:r>
          <w:rPr>
            <w:noProof/>
            <w:webHidden/>
          </w:rPr>
          <w:tab/>
        </w:r>
        <w:r>
          <w:rPr>
            <w:noProof/>
            <w:webHidden/>
          </w:rPr>
          <w:fldChar w:fldCharType="begin"/>
        </w:r>
        <w:r>
          <w:rPr>
            <w:noProof/>
            <w:webHidden/>
          </w:rPr>
          <w:instrText xml:space="preserve"> PAGEREF _Toc190351706 \h </w:instrText>
        </w:r>
        <w:r>
          <w:rPr>
            <w:noProof/>
            <w:webHidden/>
          </w:rPr>
        </w:r>
        <w:r>
          <w:rPr>
            <w:noProof/>
            <w:webHidden/>
          </w:rPr>
          <w:fldChar w:fldCharType="separate"/>
        </w:r>
        <w:r>
          <w:rPr>
            <w:noProof/>
            <w:webHidden/>
          </w:rPr>
          <w:t>22</w:t>
        </w:r>
        <w:r>
          <w:rPr>
            <w:noProof/>
            <w:webHidden/>
          </w:rPr>
          <w:fldChar w:fldCharType="end"/>
        </w:r>
      </w:hyperlink>
    </w:p>
    <w:p w14:paraId="399C6914" w14:textId="42F4A04E" w:rsidR="00BA4FDF" w:rsidRDefault="00BA4FDF">
      <w:pPr>
        <w:pStyle w:val="Verzeichnis4"/>
        <w:tabs>
          <w:tab w:val="right" w:leader="dot" w:pos="9344"/>
        </w:tabs>
        <w:rPr>
          <w:rFonts w:eastAsiaTheme="minorEastAsia" w:cstheme="minorBidi"/>
          <w:noProof/>
          <w:sz w:val="22"/>
          <w:szCs w:val="22"/>
        </w:rPr>
      </w:pPr>
      <w:hyperlink w:anchor="_Toc190351707" w:history="1">
        <w:r w:rsidRPr="008D6DD0">
          <w:rPr>
            <w:rStyle w:val="Hyperlink"/>
            <w:noProof/>
          </w:rPr>
          <w:t>Studierbarkeit (</w:t>
        </w:r>
        <w:r w:rsidRPr="008D6DD0">
          <w:rPr>
            <w:rStyle w:val="Hyperlink"/>
            <w:rFonts w:cs="Arial"/>
            <w:noProof/>
          </w:rPr>
          <w:t>§ 12 Abs. 5 StudAkkV)</w:t>
        </w:r>
        <w:r>
          <w:rPr>
            <w:noProof/>
            <w:webHidden/>
          </w:rPr>
          <w:tab/>
        </w:r>
        <w:r>
          <w:rPr>
            <w:noProof/>
            <w:webHidden/>
          </w:rPr>
          <w:fldChar w:fldCharType="begin"/>
        </w:r>
        <w:r>
          <w:rPr>
            <w:noProof/>
            <w:webHidden/>
          </w:rPr>
          <w:instrText xml:space="preserve"> PAGEREF _Toc190351707 \h </w:instrText>
        </w:r>
        <w:r>
          <w:rPr>
            <w:noProof/>
            <w:webHidden/>
          </w:rPr>
        </w:r>
        <w:r>
          <w:rPr>
            <w:noProof/>
            <w:webHidden/>
          </w:rPr>
          <w:fldChar w:fldCharType="separate"/>
        </w:r>
        <w:r>
          <w:rPr>
            <w:noProof/>
            <w:webHidden/>
          </w:rPr>
          <w:t>24</w:t>
        </w:r>
        <w:r>
          <w:rPr>
            <w:noProof/>
            <w:webHidden/>
          </w:rPr>
          <w:fldChar w:fldCharType="end"/>
        </w:r>
      </w:hyperlink>
    </w:p>
    <w:p w14:paraId="4077FEB4" w14:textId="54D4F2BC" w:rsidR="00BA4FDF" w:rsidRDefault="00BA4FDF">
      <w:pPr>
        <w:pStyle w:val="Verzeichnis4"/>
        <w:tabs>
          <w:tab w:val="right" w:leader="dot" w:pos="9344"/>
        </w:tabs>
        <w:rPr>
          <w:rFonts w:eastAsiaTheme="minorEastAsia" w:cstheme="minorBidi"/>
          <w:noProof/>
          <w:sz w:val="22"/>
          <w:szCs w:val="22"/>
        </w:rPr>
      </w:pPr>
      <w:hyperlink w:anchor="_Toc190351708" w:history="1">
        <w:r w:rsidRPr="008D6DD0">
          <w:rPr>
            <w:rStyle w:val="Hyperlink"/>
            <w:noProof/>
          </w:rPr>
          <w:t>Besonderer Profilanspruch (</w:t>
        </w:r>
        <w:r w:rsidRPr="008D6DD0">
          <w:rPr>
            <w:rStyle w:val="Hyperlink"/>
            <w:rFonts w:cs="Arial"/>
            <w:noProof/>
          </w:rPr>
          <w:t>§ 12 Abs. 6 StudAkkV)</w:t>
        </w:r>
        <w:r>
          <w:rPr>
            <w:noProof/>
            <w:webHidden/>
          </w:rPr>
          <w:tab/>
        </w:r>
        <w:r>
          <w:rPr>
            <w:noProof/>
            <w:webHidden/>
          </w:rPr>
          <w:fldChar w:fldCharType="begin"/>
        </w:r>
        <w:r>
          <w:rPr>
            <w:noProof/>
            <w:webHidden/>
          </w:rPr>
          <w:instrText xml:space="preserve"> PAGEREF _Toc190351708 \h </w:instrText>
        </w:r>
        <w:r>
          <w:rPr>
            <w:noProof/>
            <w:webHidden/>
          </w:rPr>
        </w:r>
        <w:r>
          <w:rPr>
            <w:noProof/>
            <w:webHidden/>
          </w:rPr>
          <w:fldChar w:fldCharType="separate"/>
        </w:r>
        <w:r>
          <w:rPr>
            <w:noProof/>
            <w:webHidden/>
          </w:rPr>
          <w:t>27</w:t>
        </w:r>
        <w:r>
          <w:rPr>
            <w:noProof/>
            <w:webHidden/>
          </w:rPr>
          <w:fldChar w:fldCharType="end"/>
        </w:r>
      </w:hyperlink>
    </w:p>
    <w:p w14:paraId="56732272" w14:textId="2243B265" w:rsidR="00BA4FDF" w:rsidRDefault="00BA4FDF">
      <w:pPr>
        <w:pStyle w:val="Verzeichnis3"/>
        <w:tabs>
          <w:tab w:val="right" w:leader="dot" w:pos="9344"/>
        </w:tabs>
        <w:rPr>
          <w:rFonts w:eastAsiaTheme="minorEastAsia" w:cstheme="minorBidi"/>
          <w:noProof/>
          <w:sz w:val="22"/>
          <w:szCs w:val="22"/>
        </w:rPr>
      </w:pPr>
      <w:hyperlink w:anchor="_Toc190351709" w:history="1">
        <w:r w:rsidRPr="008D6DD0">
          <w:rPr>
            <w:rStyle w:val="Hyperlink"/>
            <w:noProof/>
          </w:rPr>
          <w:t>Fachlich-Inhaltliche Gestaltung der Studiengänge (§ 13 StudAkkV)</w:t>
        </w:r>
        <w:r>
          <w:rPr>
            <w:noProof/>
            <w:webHidden/>
          </w:rPr>
          <w:tab/>
        </w:r>
        <w:r>
          <w:rPr>
            <w:noProof/>
            <w:webHidden/>
          </w:rPr>
          <w:fldChar w:fldCharType="begin"/>
        </w:r>
        <w:r>
          <w:rPr>
            <w:noProof/>
            <w:webHidden/>
          </w:rPr>
          <w:instrText xml:space="preserve"> PAGEREF _Toc190351709 \h </w:instrText>
        </w:r>
        <w:r>
          <w:rPr>
            <w:noProof/>
            <w:webHidden/>
          </w:rPr>
        </w:r>
        <w:r>
          <w:rPr>
            <w:noProof/>
            <w:webHidden/>
          </w:rPr>
          <w:fldChar w:fldCharType="separate"/>
        </w:r>
        <w:r>
          <w:rPr>
            <w:noProof/>
            <w:webHidden/>
          </w:rPr>
          <w:t>28</w:t>
        </w:r>
        <w:r>
          <w:rPr>
            <w:noProof/>
            <w:webHidden/>
          </w:rPr>
          <w:fldChar w:fldCharType="end"/>
        </w:r>
      </w:hyperlink>
    </w:p>
    <w:p w14:paraId="19FD4E33" w14:textId="31CEB1B5" w:rsidR="00BA4FDF" w:rsidRDefault="00BA4FDF">
      <w:pPr>
        <w:pStyle w:val="Verzeichnis4"/>
        <w:tabs>
          <w:tab w:val="right" w:leader="dot" w:pos="9344"/>
        </w:tabs>
        <w:rPr>
          <w:rFonts w:eastAsiaTheme="minorEastAsia" w:cstheme="minorBidi"/>
          <w:noProof/>
          <w:sz w:val="22"/>
          <w:szCs w:val="22"/>
        </w:rPr>
      </w:pPr>
      <w:hyperlink w:anchor="_Toc190351710" w:history="1">
        <w:r w:rsidRPr="008D6DD0">
          <w:rPr>
            <w:rStyle w:val="Hyperlink"/>
            <w:noProof/>
          </w:rPr>
          <w:t>Aktualität der fachlichen und wissenschaftlichen Anforderungen (</w:t>
        </w:r>
        <w:r w:rsidRPr="008D6DD0">
          <w:rPr>
            <w:rStyle w:val="Hyperlink"/>
            <w:rFonts w:cs="Arial"/>
            <w:noProof/>
          </w:rPr>
          <w:t>§ 13 Abs. 1 StudAkkV)</w:t>
        </w:r>
        <w:r>
          <w:rPr>
            <w:noProof/>
            <w:webHidden/>
          </w:rPr>
          <w:tab/>
        </w:r>
        <w:r>
          <w:rPr>
            <w:noProof/>
            <w:webHidden/>
          </w:rPr>
          <w:fldChar w:fldCharType="begin"/>
        </w:r>
        <w:r>
          <w:rPr>
            <w:noProof/>
            <w:webHidden/>
          </w:rPr>
          <w:instrText xml:space="preserve"> PAGEREF _Toc190351710 \h </w:instrText>
        </w:r>
        <w:r>
          <w:rPr>
            <w:noProof/>
            <w:webHidden/>
          </w:rPr>
        </w:r>
        <w:r>
          <w:rPr>
            <w:noProof/>
            <w:webHidden/>
          </w:rPr>
          <w:fldChar w:fldCharType="separate"/>
        </w:r>
        <w:r>
          <w:rPr>
            <w:noProof/>
            <w:webHidden/>
          </w:rPr>
          <w:t>28</w:t>
        </w:r>
        <w:r>
          <w:rPr>
            <w:noProof/>
            <w:webHidden/>
          </w:rPr>
          <w:fldChar w:fldCharType="end"/>
        </w:r>
      </w:hyperlink>
    </w:p>
    <w:p w14:paraId="25ADCBC0" w14:textId="0C1CAE1E" w:rsidR="00BA4FDF" w:rsidRDefault="00BA4FDF">
      <w:pPr>
        <w:pStyle w:val="Verzeichnis4"/>
        <w:tabs>
          <w:tab w:val="right" w:leader="dot" w:pos="9344"/>
        </w:tabs>
        <w:rPr>
          <w:rFonts w:eastAsiaTheme="minorEastAsia" w:cstheme="minorBidi"/>
          <w:noProof/>
          <w:sz w:val="22"/>
          <w:szCs w:val="22"/>
        </w:rPr>
      </w:pPr>
      <w:hyperlink w:anchor="_Toc190351711" w:history="1">
        <w:r w:rsidRPr="008D6DD0">
          <w:rPr>
            <w:rStyle w:val="Hyperlink"/>
            <w:noProof/>
          </w:rPr>
          <w:t>Lehramt (</w:t>
        </w:r>
        <w:r w:rsidRPr="008D6DD0">
          <w:rPr>
            <w:rStyle w:val="Hyperlink"/>
            <w:rFonts w:cs="Arial"/>
            <w:noProof/>
          </w:rPr>
          <w:t>§ 13 Abs. 2 und 3 StudAkkV)</w:t>
        </w:r>
        <w:r>
          <w:rPr>
            <w:noProof/>
            <w:webHidden/>
          </w:rPr>
          <w:tab/>
        </w:r>
        <w:r>
          <w:rPr>
            <w:noProof/>
            <w:webHidden/>
          </w:rPr>
          <w:fldChar w:fldCharType="begin"/>
        </w:r>
        <w:r>
          <w:rPr>
            <w:noProof/>
            <w:webHidden/>
          </w:rPr>
          <w:instrText xml:space="preserve"> PAGEREF _Toc190351711 \h </w:instrText>
        </w:r>
        <w:r>
          <w:rPr>
            <w:noProof/>
            <w:webHidden/>
          </w:rPr>
        </w:r>
        <w:r>
          <w:rPr>
            <w:noProof/>
            <w:webHidden/>
          </w:rPr>
          <w:fldChar w:fldCharType="separate"/>
        </w:r>
        <w:r>
          <w:rPr>
            <w:noProof/>
            <w:webHidden/>
          </w:rPr>
          <w:t>29</w:t>
        </w:r>
        <w:r>
          <w:rPr>
            <w:noProof/>
            <w:webHidden/>
          </w:rPr>
          <w:fldChar w:fldCharType="end"/>
        </w:r>
      </w:hyperlink>
    </w:p>
    <w:p w14:paraId="176E5AB2" w14:textId="7533D3F3" w:rsidR="00BA4FDF" w:rsidRDefault="00BA4FDF">
      <w:pPr>
        <w:pStyle w:val="Verzeichnis3"/>
        <w:tabs>
          <w:tab w:val="right" w:leader="dot" w:pos="9344"/>
        </w:tabs>
        <w:rPr>
          <w:rFonts w:eastAsiaTheme="minorEastAsia" w:cstheme="minorBidi"/>
          <w:noProof/>
          <w:sz w:val="22"/>
          <w:szCs w:val="22"/>
        </w:rPr>
      </w:pPr>
      <w:hyperlink w:anchor="_Toc190351712" w:history="1">
        <w:r w:rsidRPr="008D6DD0">
          <w:rPr>
            <w:rStyle w:val="Hyperlink"/>
            <w:noProof/>
          </w:rPr>
          <w:t>Studienerfolg (§ 14 StudAkkV)</w:t>
        </w:r>
        <w:r>
          <w:rPr>
            <w:noProof/>
            <w:webHidden/>
          </w:rPr>
          <w:tab/>
        </w:r>
        <w:r>
          <w:rPr>
            <w:noProof/>
            <w:webHidden/>
          </w:rPr>
          <w:fldChar w:fldCharType="begin"/>
        </w:r>
        <w:r>
          <w:rPr>
            <w:noProof/>
            <w:webHidden/>
          </w:rPr>
          <w:instrText xml:space="preserve"> PAGEREF _Toc190351712 \h </w:instrText>
        </w:r>
        <w:r>
          <w:rPr>
            <w:noProof/>
            <w:webHidden/>
          </w:rPr>
        </w:r>
        <w:r>
          <w:rPr>
            <w:noProof/>
            <w:webHidden/>
          </w:rPr>
          <w:fldChar w:fldCharType="separate"/>
        </w:r>
        <w:r>
          <w:rPr>
            <w:noProof/>
            <w:webHidden/>
          </w:rPr>
          <w:t>29</w:t>
        </w:r>
        <w:r>
          <w:rPr>
            <w:noProof/>
            <w:webHidden/>
          </w:rPr>
          <w:fldChar w:fldCharType="end"/>
        </w:r>
      </w:hyperlink>
    </w:p>
    <w:p w14:paraId="7F9A1F40" w14:textId="34D4327B" w:rsidR="00BA4FDF" w:rsidRDefault="00BA4FDF">
      <w:pPr>
        <w:pStyle w:val="Verzeichnis3"/>
        <w:tabs>
          <w:tab w:val="right" w:leader="dot" w:pos="9344"/>
        </w:tabs>
        <w:rPr>
          <w:rFonts w:eastAsiaTheme="minorEastAsia" w:cstheme="minorBidi"/>
          <w:noProof/>
          <w:sz w:val="22"/>
          <w:szCs w:val="22"/>
        </w:rPr>
      </w:pPr>
      <w:hyperlink w:anchor="_Toc190351713" w:history="1">
        <w:r w:rsidRPr="008D6DD0">
          <w:rPr>
            <w:rStyle w:val="Hyperlink"/>
            <w:noProof/>
          </w:rPr>
          <w:t>Geschlechtergerechtigkeit und Nachteilsausgleich (§ 15 StudAkkV)</w:t>
        </w:r>
        <w:r>
          <w:rPr>
            <w:noProof/>
            <w:webHidden/>
          </w:rPr>
          <w:tab/>
        </w:r>
        <w:r>
          <w:rPr>
            <w:noProof/>
            <w:webHidden/>
          </w:rPr>
          <w:fldChar w:fldCharType="begin"/>
        </w:r>
        <w:r>
          <w:rPr>
            <w:noProof/>
            <w:webHidden/>
          </w:rPr>
          <w:instrText xml:space="preserve"> PAGEREF _Toc190351713 \h </w:instrText>
        </w:r>
        <w:r>
          <w:rPr>
            <w:noProof/>
            <w:webHidden/>
          </w:rPr>
        </w:r>
        <w:r>
          <w:rPr>
            <w:noProof/>
            <w:webHidden/>
          </w:rPr>
          <w:fldChar w:fldCharType="separate"/>
        </w:r>
        <w:r>
          <w:rPr>
            <w:noProof/>
            <w:webHidden/>
          </w:rPr>
          <w:t>30</w:t>
        </w:r>
        <w:r>
          <w:rPr>
            <w:noProof/>
            <w:webHidden/>
          </w:rPr>
          <w:fldChar w:fldCharType="end"/>
        </w:r>
      </w:hyperlink>
    </w:p>
    <w:p w14:paraId="56ADCA1E" w14:textId="125713E0" w:rsidR="00BA4FDF" w:rsidRDefault="00BA4FDF">
      <w:pPr>
        <w:pStyle w:val="Verzeichnis3"/>
        <w:tabs>
          <w:tab w:val="right" w:leader="dot" w:pos="9344"/>
        </w:tabs>
        <w:rPr>
          <w:rFonts w:eastAsiaTheme="minorEastAsia" w:cstheme="minorBidi"/>
          <w:noProof/>
          <w:sz w:val="22"/>
          <w:szCs w:val="22"/>
        </w:rPr>
      </w:pPr>
      <w:hyperlink w:anchor="_Toc190351714" w:history="1">
        <w:r w:rsidRPr="008D6DD0">
          <w:rPr>
            <w:rStyle w:val="Hyperlink"/>
            <w:noProof/>
          </w:rPr>
          <w:t>Sonderregelungen für Joint-Degree-Programme (§ 16 StudAkkV)</w:t>
        </w:r>
        <w:r>
          <w:rPr>
            <w:noProof/>
            <w:webHidden/>
          </w:rPr>
          <w:tab/>
        </w:r>
        <w:r>
          <w:rPr>
            <w:noProof/>
            <w:webHidden/>
          </w:rPr>
          <w:fldChar w:fldCharType="begin"/>
        </w:r>
        <w:r>
          <w:rPr>
            <w:noProof/>
            <w:webHidden/>
          </w:rPr>
          <w:instrText xml:space="preserve"> PAGEREF _Toc190351714 \h </w:instrText>
        </w:r>
        <w:r>
          <w:rPr>
            <w:noProof/>
            <w:webHidden/>
          </w:rPr>
        </w:r>
        <w:r>
          <w:rPr>
            <w:noProof/>
            <w:webHidden/>
          </w:rPr>
          <w:fldChar w:fldCharType="separate"/>
        </w:r>
        <w:r>
          <w:rPr>
            <w:noProof/>
            <w:webHidden/>
          </w:rPr>
          <w:t>31</w:t>
        </w:r>
        <w:r>
          <w:rPr>
            <w:noProof/>
            <w:webHidden/>
          </w:rPr>
          <w:fldChar w:fldCharType="end"/>
        </w:r>
      </w:hyperlink>
    </w:p>
    <w:p w14:paraId="642FC214" w14:textId="172C27AB" w:rsidR="00BA4FDF" w:rsidRDefault="00BA4FDF">
      <w:pPr>
        <w:pStyle w:val="Verzeichnis3"/>
        <w:tabs>
          <w:tab w:val="right" w:leader="dot" w:pos="9344"/>
        </w:tabs>
        <w:rPr>
          <w:rFonts w:eastAsiaTheme="minorEastAsia" w:cstheme="minorBidi"/>
          <w:noProof/>
          <w:sz w:val="22"/>
          <w:szCs w:val="22"/>
        </w:rPr>
      </w:pPr>
      <w:hyperlink w:anchor="_Toc190351715" w:history="1">
        <w:r w:rsidRPr="008D6DD0">
          <w:rPr>
            <w:rStyle w:val="Hyperlink"/>
            <w:noProof/>
          </w:rPr>
          <w:t>Kooperationen mit nichthochschulischen Einrichtungen (§ 19 StudAkkV)</w:t>
        </w:r>
        <w:r>
          <w:rPr>
            <w:noProof/>
            <w:webHidden/>
          </w:rPr>
          <w:tab/>
        </w:r>
        <w:r>
          <w:rPr>
            <w:noProof/>
            <w:webHidden/>
          </w:rPr>
          <w:fldChar w:fldCharType="begin"/>
        </w:r>
        <w:r>
          <w:rPr>
            <w:noProof/>
            <w:webHidden/>
          </w:rPr>
          <w:instrText xml:space="preserve"> PAGEREF _Toc190351715 \h </w:instrText>
        </w:r>
        <w:r>
          <w:rPr>
            <w:noProof/>
            <w:webHidden/>
          </w:rPr>
        </w:r>
        <w:r>
          <w:rPr>
            <w:noProof/>
            <w:webHidden/>
          </w:rPr>
          <w:fldChar w:fldCharType="separate"/>
        </w:r>
        <w:r>
          <w:rPr>
            <w:noProof/>
            <w:webHidden/>
          </w:rPr>
          <w:t>31</w:t>
        </w:r>
        <w:r>
          <w:rPr>
            <w:noProof/>
            <w:webHidden/>
          </w:rPr>
          <w:fldChar w:fldCharType="end"/>
        </w:r>
      </w:hyperlink>
    </w:p>
    <w:p w14:paraId="173569A9" w14:textId="0C735DFE" w:rsidR="00BA4FDF" w:rsidRDefault="00BA4FDF">
      <w:pPr>
        <w:pStyle w:val="Verzeichnis3"/>
        <w:tabs>
          <w:tab w:val="right" w:leader="dot" w:pos="9344"/>
        </w:tabs>
        <w:rPr>
          <w:rFonts w:eastAsiaTheme="minorEastAsia" w:cstheme="minorBidi"/>
          <w:noProof/>
          <w:sz w:val="22"/>
          <w:szCs w:val="22"/>
        </w:rPr>
      </w:pPr>
      <w:hyperlink w:anchor="_Toc190351716" w:history="1">
        <w:r w:rsidRPr="008D6DD0">
          <w:rPr>
            <w:rStyle w:val="Hyperlink"/>
            <w:noProof/>
          </w:rPr>
          <w:t>Hochschulische Kooperationen (§ 20 StudAkkV)</w:t>
        </w:r>
        <w:r>
          <w:rPr>
            <w:noProof/>
            <w:webHidden/>
          </w:rPr>
          <w:tab/>
        </w:r>
        <w:r>
          <w:rPr>
            <w:noProof/>
            <w:webHidden/>
          </w:rPr>
          <w:fldChar w:fldCharType="begin"/>
        </w:r>
        <w:r>
          <w:rPr>
            <w:noProof/>
            <w:webHidden/>
          </w:rPr>
          <w:instrText xml:space="preserve"> PAGEREF _Toc190351716 \h </w:instrText>
        </w:r>
        <w:r>
          <w:rPr>
            <w:noProof/>
            <w:webHidden/>
          </w:rPr>
        </w:r>
        <w:r>
          <w:rPr>
            <w:noProof/>
            <w:webHidden/>
          </w:rPr>
          <w:fldChar w:fldCharType="separate"/>
        </w:r>
        <w:r>
          <w:rPr>
            <w:noProof/>
            <w:webHidden/>
          </w:rPr>
          <w:t>31</w:t>
        </w:r>
        <w:r>
          <w:rPr>
            <w:noProof/>
            <w:webHidden/>
          </w:rPr>
          <w:fldChar w:fldCharType="end"/>
        </w:r>
      </w:hyperlink>
    </w:p>
    <w:p w14:paraId="77233D8D" w14:textId="1DA653CC" w:rsidR="00BA4FDF" w:rsidRDefault="00BA4FDF">
      <w:pPr>
        <w:pStyle w:val="Verzeichnis3"/>
        <w:tabs>
          <w:tab w:val="right" w:leader="dot" w:pos="9344"/>
        </w:tabs>
        <w:rPr>
          <w:rFonts w:eastAsiaTheme="minorEastAsia" w:cstheme="minorBidi"/>
          <w:noProof/>
          <w:sz w:val="22"/>
          <w:szCs w:val="22"/>
        </w:rPr>
      </w:pPr>
      <w:hyperlink w:anchor="_Toc190351717" w:history="1">
        <w:r w:rsidRPr="008D6DD0">
          <w:rPr>
            <w:rStyle w:val="Hyperlink"/>
            <w:noProof/>
          </w:rPr>
          <w:t>Besondere Kriterien für Bachelorausbildungsgänge an Berufsakademien (§ 21 StudAkkV)</w:t>
        </w:r>
        <w:r>
          <w:rPr>
            <w:noProof/>
            <w:webHidden/>
          </w:rPr>
          <w:tab/>
        </w:r>
        <w:r>
          <w:rPr>
            <w:noProof/>
            <w:webHidden/>
          </w:rPr>
          <w:fldChar w:fldCharType="begin"/>
        </w:r>
        <w:r>
          <w:rPr>
            <w:noProof/>
            <w:webHidden/>
          </w:rPr>
          <w:instrText xml:space="preserve"> PAGEREF _Toc190351717 \h </w:instrText>
        </w:r>
        <w:r>
          <w:rPr>
            <w:noProof/>
            <w:webHidden/>
          </w:rPr>
        </w:r>
        <w:r>
          <w:rPr>
            <w:noProof/>
            <w:webHidden/>
          </w:rPr>
          <w:fldChar w:fldCharType="separate"/>
        </w:r>
        <w:r>
          <w:rPr>
            <w:noProof/>
            <w:webHidden/>
          </w:rPr>
          <w:t>31</w:t>
        </w:r>
        <w:r>
          <w:rPr>
            <w:noProof/>
            <w:webHidden/>
          </w:rPr>
          <w:fldChar w:fldCharType="end"/>
        </w:r>
      </w:hyperlink>
    </w:p>
    <w:p w14:paraId="1DFD3D2A" w14:textId="2EE2F5C0" w:rsidR="00BA4FDF" w:rsidRDefault="00BA4FDF">
      <w:pPr>
        <w:pStyle w:val="Verzeichnis1"/>
        <w:tabs>
          <w:tab w:val="left" w:pos="440"/>
          <w:tab w:val="right" w:leader="dot" w:pos="9344"/>
        </w:tabs>
        <w:rPr>
          <w:rFonts w:eastAsiaTheme="minorEastAsia" w:cstheme="minorBidi"/>
          <w:b w:val="0"/>
          <w:bCs w:val="0"/>
          <w:noProof/>
          <w:sz w:val="22"/>
          <w:szCs w:val="22"/>
        </w:rPr>
      </w:pPr>
      <w:hyperlink w:anchor="_Toc190351718" w:history="1">
        <w:r w:rsidRPr="008D6DD0">
          <w:rPr>
            <w:rStyle w:val="Hyperlink"/>
            <w:noProof/>
          </w:rPr>
          <w:t>3</w:t>
        </w:r>
        <w:r>
          <w:rPr>
            <w:rFonts w:eastAsiaTheme="minorEastAsia" w:cstheme="minorBidi"/>
            <w:b w:val="0"/>
            <w:bCs w:val="0"/>
            <w:noProof/>
            <w:sz w:val="22"/>
            <w:szCs w:val="22"/>
          </w:rPr>
          <w:tab/>
        </w:r>
        <w:r w:rsidRPr="008D6DD0">
          <w:rPr>
            <w:rStyle w:val="Hyperlink"/>
            <w:rFonts w:cs="Arial"/>
            <w:noProof/>
          </w:rPr>
          <w:t>Begutachtungsverfahren</w:t>
        </w:r>
        <w:r>
          <w:rPr>
            <w:noProof/>
            <w:webHidden/>
          </w:rPr>
          <w:tab/>
        </w:r>
        <w:r>
          <w:rPr>
            <w:noProof/>
            <w:webHidden/>
          </w:rPr>
          <w:fldChar w:fldCharType="begin"/>
        </w:r>
        <w:r>
          <w:rPr>
            <w:noProof/>
            <w:webHidden/>
          </w:rPr>
          <w:instrText xml:space="preserve"> PAGEREF _Toc190351718 \h </w:instrText>
        </w:r>
        <w:r>
          <w:rPr>
            <w:noProof/>
            <w:webHidden/>
          </w:rPr>
        </w:r>
        <w:r>
          <w:rPr>
            <w:noProof/>
            <w:webHidden/>
          </w:rPr>
          <w:fldChar w:fldCharType="separate"/>
        </w:r>
        <w:r>
          <w:rPr>
            <w:noProof/>
            <w:webHidden/>
          </w:rPr>
          <w:t>32</w:t>
        </w:r>
        <w:r>
          <w:rPr>
            <w:noProof/>
            <w:webHidden/>
          </w:rPr>
          <w:fldChar w:fldCharType="end"/>
        </w:r>
      </w:hyperlink>
    </w:p>
    <w:p w14:paraId="17204050" w14:textId="192A4DE5" w:rsidR="00BA4FDF" w:rsidRDefault="00BA4FDF">
      <w:pPr>
        <w:pStyle w:val="Verzeichnis2"/>
        <w:tabs>
          <w:tab w:val="left" w:pos="880"/>
        </w:tabs>
        <w:rPr>
          <w:rFonts w:eastAsiaTheme="minorEastAsia" w:cstheme="minorBidi"/>
          <w:i w:val="0"/>
          <w:iCs w:val="0"/>
          <w:noProof/>
          <w:sz w:val="22"/>
          <w:szCs w:val="22"/>
        </w:rPr>
      </w:pPr>
      <w:hyperlink w:anchor="_Toc190351719" w:history="1">
        <w:r w:rsidRPr="008D6DD0">
          <w:rPr>
            <w:rStyle w:val="Hyperlink"/>
            <w:noProof/>
          </w:rPr>
          <w:t>3.1</w:t>
        </w:r>
        <w:r>
          <w:rPr>
            <w:rFonts w:eastAsiaTheme="minorEastAsia" w:cstheme="minorBidi"/>
            <w:i w:val="0"/>
            <w:iCs w:val="0"/>
            <w:noProof/>
            <w:sz w:val="22"/>
            <w:szCs w:val="22"/>
          </w:rPr>
          <w:tab/>
        </w:r>
        <w:r w:rsidRPr="008D6DD0">
          <w:rPr>
            <w:rStyle w:val="Hyperlink"/>
            <w:noProof/>
          </w:rPr>
          <w:t>Allgemeine Hinweise</w:t>
        </w:r>
        <w:r>
          <w:rPr>
            <w:noProof/>
            <w:webHidden/>
          </w:rPr>
          <w:tab/>
        </w:r>
        <w:r>
          <w:rPr>
            <w:noProof/>
            <w:webHidden/>
          </w:rPr>
          <w:fldChar w:fldCharType="begin"/>
        </w:r>
        <w:r>
          <w:rPr>
            <w:noProof/>
            <w:webHidden/>
          </w:rPr>
          <w:instrText xml:space="preserve"> PAGEREF _Toc190351719 \h </w:instrText>
        </w:r>
        <w:r>
          <w:rPr>
            <w:noProof/>
            <w:webHidden/>
          </w:rPr>
        </w:r>
        <w:r>
          <w:rPr>
            <w:noProof/>
            <w:webHidden/>
          </w:rPr>
          <w:fldChar w:fldCharType="separate"/>
        </w:r>
        <w:r>
          <w:rPr>
            <w:noProof/>
            <w:webHidden/>
          </w:rPr>
          <w:t>32</w:t>
        </w:r>
        <w:r>
          <w:rPr>
            <w:noProof/>
            <w:webHidden/>
          </w:rPr>
          <w:fldChar w:fldCharType="end"/>
        </w:r>
      </w:hyperlink>
    </w:p>
    <w:p w14:paraId="4B4FFE8D" w14:textId="3566894F" w:rsidR="00BA4FDF" w:rsidRDefault="00BA4FDF">
      <w:pPr>
        <w:pStyle w:val="Verzeichnis2"/>
        <w:tabs>
          <w:tab w:val="left" w:pos="880"/>
        </w:tabs>
        <w:rPr>
          <w:rFonts w:eastAsiaTheme="minorEastAsia" w:cstheme="minorBidi"/>
          <w:i w:val="0"/>
          <w:iCs w:val="0"/>
          <w:noProof/>
          <w:sz w:val="22"/>
          <w:szCs w:val="22"/>
        </w:rPr>
      </w:pPr>
      <w:hyperlink w:anchor="_Toc190351720" w:history="1">
        <w:r w:rsidRPr="008D6DD0">
          <w:rPr>
            <w:rStyle w:val="Hyperlink"/>
            <w:noProof/>
          </w:rPr>
          <w:t>3.2</w:t>
        </w:r>
        <w:r>
          <w:rPr>
            <w:rFonts w:eastAsiaTheme="minorEastAsia" w:cstheme="minorBidi"/>
            <w:i w:val="0"/>
            <w:iCs w:val="0"/>
            <w:noProof/>
            <w:sz w:val="22"/>
            <w:szCs w:val="22"/>
          </w:rPr>
          <w:tab/>
        </w:r>
        <w:r w:rsidRPr="008D6DD0">
          <w:rPr>
            <w:rStyle w:val="Hyperlink"/>
            <w:noProof/>
          </w:rPr>
          <w:t>Rechtliche Grundlagen</w:t>
        </w:r>
        <w:r>
          <w:rPr>
            <w:noProof/>
            <w:webHidden/>
          </w:rPr>
          <w:tab/>
        </w:r>
        <w:r>
          <w:rPr>
            <w:noProof/>
            <w:webHidden/>
          </w:rPr>
          <w:fldChar w:fldCharType="begin"/>
        </w:r>
        <w:r>
          <w:rPr>
            <w:noProof/>
            <w:webHidden/>
          </w:rPr>
          <w:instrText xml:space="preserve"> PAGEREF _Toc190351720 \h </w:instrText>
        </w:r>
        <w:r>
          <w:rPr>
            <w:noProof/>
            <w:webHidden/>
          </w:rPr>
        </w:r>
        <w:r>
          <w:rPr>
            <w:noProof/>
            <w:webHidden/>
          </w:rPr>
          <w:fldChar w:fldCharType="separate"/>
        </w:r>
        <w:r>
          <w:rPr>
            <w:noProof/>
            <w:webHidden/>
          </w:rPr>
          <w:t>33</w:t>
        </w:r>
        <w:r>
          <w:rPr>
            <w:noProof/>
            <w:webHidden/>
          </w:rPr>
          <w:fldChar w:fldCharType="end"/>
        </w:r>
      </w:hyperlink>
    </w:p>
    <w:p w14:paraId="56E5379F" w14:textId="12C3A151" w:rsidR="00BA4FDF" w:rsidRDefault="00BA4FDF">
      <w:pPr>
        <w:pStyle w:val="Verzeichnis2"/>
        <w:tabs>
          <w:tab w:val="left" w:pos="880"/>
        </w:tabs>
        <w:rPr>
          <w:rFonts w:eastAsiaTheme="minorEastAsia" w:cstheme="minorBidi"/>
          <w:i w:val="0"/>
          <w:iCs w:val="0"/>
          <w:noProof/>
          <w:sz w:val="22"/>
          <w:szCs w:val="22"/>
        </w:rPr>
      </w:pPr>
      <w:hyperlink w:anchor="_Toc190351721" w:history="1">
        <w:r w:rsidRPr="008D6DD0">
          <w:rPr>
            <w:rStyle w:val="Hyperlink"/>
            <w:noProof/>
          </w:rPr>
          <w:t>3.3</w:t>
        </w:r>
        <w:r>
          <w:rPr>
            <w:rFonts w:eastAsiaTheme="minorEastAsia" w:cstheme="minorBidi"/>
            <w:i w:val="0"/>
            <w:iCs w:val="0"/>
            <w:noProof/>
            <w:sz w:val="22"/>
            <w:szCs w:val="22"/>
          </w:rPr>
          <w:tab/>
        </w:r>
        <w:r w:rsidRPr="008D6DD0">
          <w:rPr>
            <w:rStyle w:val="Hyperlink"/>
            <w:noProof/>
          </w:rPr>
          <w:t>Gutachtergremium</w:t>
        </w:r>
        <w:r>
          <w:rPr>
            <w:noProof/>
            <w:webHidden/>
          </w:rPr>
          <w:tab/>
        </w:r>
        <w:r>
          <w:rPr>
            <w:noProof/>
            <w:webHidden/>
          </w:rPr>
          <w:fldChar w:fldCharType="begin"/>
        </w:r>
        <w:r>
          <w:rPr>
            <w:noProof/>
            <w:webHidden/>
          </w:rPr>
          <w:instrText xml:space="preserve"> PAGEREF _Toc190351721 \h </w:instrText>
        </w:r>
        <w:r>
          <w:rPr>
            <w:noProof/>
            <w:webHidden/>
          </w:rPr>
        </w:r>
        <w:r>
          <w:rPr>
            <w:noProof/>
            <w:webHidden/>
          </w:rPr>
          <w:fldChar w:fldCharType="separate"/>
        </w:r>
        <w:r>
          <w:rPr>
            <w:noProof/>
            <w:webHidden/>
          </w:rPr>
          <w:t>33</w:t>
        </w:r>
        <w:r>
          <w:rPr>
            <w:noProof/>
            <w:webHidden/>
          </w:rPr>
          <w:fldChar w:fldCharType="end"/>
        </w:r>
      </w:hyperlink>
    </w:p>
    <w:p w14:paraId="3293A4C8" w14:textId="05C99F90" w:rsidR="00BA4FDF" w:rsidRDefault="00BA4FDF">
      <w:pPr>
        <w:pStyle w:val="Verzeichnis1"/>
        <w:tabs>
          <w:tab w:val="left" w:pos="440"/>
          <w:tab w:val="right" w:leader="dot" w:pos="9344"/>
        </w:tabs>
        <w:rPr>
          <w:rFonts w:eastAsiaTheme="minorEastAsia" w:cstheme="minorBidi"/>
          <w:b w:val="0"/>
          <w:bCs w:val="0"/>
          <w:noProof/>
          <w:sz w:val="22"/>
          <w:szCs w:val="22"/>
        </w:rPr>
      </w:pPr>
      <w:hyperlink w:anchor="_Toc190351722" w:history="1">
        <w:r w:rsidRPr="008D6DD0">
          <w:rPr>
            <w:rStyle w:val="Hyperlink"/>
            <w:noProof/>
          </w:rPr>
          <w:t>4</w:t>
        </w:r>
        <w:r>
          <w:rPr>
            <w:rFonts w:eastAsiaTheme="minorEastAsia" w:cstheme="minorBidi"/>
            <w:b w:val="0"/>
            <w:bCs w:val="0"/>
            <w:noProof/>
            <w:sz w:val="22"/>
            <w:szCs w:val="22"/>
          </w:rPr>
          <w:tab/>
        </w:r>
        <w:r w:rsidRPr="008D6DD0">
          <w:rPr>
            <w:rStyle w:val="Hyperlink"/>
            <w:noProof/>
          </w:rPr>
          <w:t>Datenblatt</w:t>
        </w:r>
        <w:r>
          <w:rPr>
            <w:noProof/>
            <w:webHidden/>
          </w:rPr>
          <w:tab/>
        </w:r>
        <w:r>
          <w:rPr>
            <w:noProof/>
            <w:webHidden/>
          </w:rPr>
          <w:fldChar w:fldCharType="begin"/>
        </w:r>
        <w:r>
          <w:rPr>
            <w:noProof/>
            <w:webHidden/>
          </w:rPr>
          <w:instrText xml:space="preserve"> PAGEREF _Toc190351722 \h </w:instrText>
        </w:r>
        <w:r>
          <w:rPr>
            <w:noProof/>
            <w:webHidden/>
          </w:rPr>
        </w:r>
        <w:r>
          <w:rPr>
            <w:noProof/>
            <w:webHidden/>
          </w:rPr>
          <w:fldChar w:fldCharType="separate"/>
        </w:r>
        <w:r>
          <w:rPr>
            <w:noProof/>
            <w:webHidden/>
          </w:rPr>
          <w:t>34</w:t>
        </w:r>
        <w:r>
          <w:rPr>
            <w:noProof/>
            <w:webHidden/>
          </w:rPr>
          <w:fldChar w:fldCharType="end"/>
        </w:r>
      </w:hyperlink>
    </w:p>
    <w:p w14:paraId="65255436" w14:textId="411D94F6" w:rsidR="00BA4FDF" w:rsidRDefault="00BA4FDF">
      <w:pPr>
        <w:pStyle w:val="Verzeichnis2"/>
        <w:tabs>
          <w:tab w:val="left" w:pos="880"/>
        </w:tabs>
        <w:rPr>
          <w:rFonts w:eastAsiaTheme="minorEastAsia" w:cstheme="minorBidi"/>
          <w:i w:val="0"/>
          <w:iCs w:val="0"/>
          <w:noProof/>
          <w:sz w:val="22"/>
          <w:szCs w:val="22"/>
        </w:rPr>
      </w:pPr>
      <w:hyperlink w:anchor="_Toc190351723" w:history="1">
        <w:r w:rsidRPr="008D6DD0">
          <w:rPr>
            <w:rStyle w:val="Hyperlink"/>
            <w:noProof/>
          </w:rPr>
          <w:t>4.1</w:t>
        </w:r>
        <w:r>
          <w:rPr>
            <w:rFonts w:eastAsiaTheme="minorEastAsia" w:cstheme="minorBidi"/>
            <w:i w:val="0"/>
            <w:iCs w:val="0"/>
            <w:noProof/>
            <w:sz w:val="22"/>
            <w:szCs w:val="22"/>
          </w:rPr>
          <w:tab/>
        </w:r>
        <w:r w:rsidRPr="008D6DD0">
          <w:rPr>
            <w:rStyle w:val="Hyperlink"/>
            <w:noProof/>
          </w:rPr>
          <w:t>Daten zum Studiengang</w:t>
        </w:r>
        <w:r>
          <w:rPr>
            <w:noProof/>
            <w:webHidden/>
          </w:rPr>
          <w:tab/>
        </w:r>
        <w:r>
          <w:rPr>
            <w:noProof/>
            <w:webHidden/>
          </w:rPr>
          <w:fldChar w:fldCharType="begin"/>
        </w:r>
        <w:r>
          <w:rPr>
            <w:noProof/>
            <w:webHidden/>
          </w:rPr>
          <w:instrText xml:space="preserve"> PAGEREF _Toc190351723 \h </w:instrText>
        </w:r>
        <w:r>
          <w:rPr>
            <w:noProof/>
            <w:webHidden/>
          </w:rPr>
        </w:r>
        <w:r>
          <w:rPr>
            <w:noProof/>
            <w:webHidden/>
          </w:rPr>
          <w:fldChar w:fldCharType="separate"/>
        </w:r>
        <w:r>
          <w:rPr>
            <w:noProof/>
            <w:webHidden/>
          </w:rPr>
          <w:t>34</w:t>
        </w:r>
        <w:r>
          <w:rPr>
            <w:noProof/>
            <w:webHidden/>
          </w:rPr>
          <w:fldChar w:fldCharType="end"/>
        </w:r>
      </w:hyperlink>
    </w:p>
    <w:p w14:paraId="641C875D" w14:textId="62B32FFD" w:rsidR="00BA4FDF" w:rsidRDefault="00BA4FDF">
      <w:pPr>
        <w:pStyle w:val="Verzeichnis2"/>
        <w:tabs>
          <w:tab w:val="left" w:pos="880"/>
        </w:tabs>
        <w:rPr>
          <w:rFonts w:eastAsiaTheme="minorEastAsia" w:cstheme="minorBidi"/>
          <w:i w:val="0"/>
          <w:iCs w:val="0"/>
          <w:noProof/>
          <w:sz w:val="22"/>
          <w:szCs w:val="22"/>
        </w:rPr>
      </w:pPr>
      <w:hyperlink w:anchor="_Toc190351724" w:history="1">
        <w:r w:rsidRPr="008D6DD0">
          <w:rPr>
            <w:rStyle w:val="Hyperlink"/>
            <w:noProof/>
          </w:rPr>
          <w:t>4.2</w:t>
        </w:r>
        <w:r>
          <w:rPr>
            <w:rFonts w:eastAsiaTheme="minorEastAsia" w:cstheme="minorBidi"/>
            <w:i w:val="0"/>
            <w:iCs w:val="0"/>
            <w:noProof/>
            <w:sz w:val="22"/>
            <w:szCs w:val="22"/>
          </w:rPr>
          <w:tab/>
        </w:r>
        <w:r w:rsidRPr="008D6DD0">
          <w:rPr>
            <w:rStyle w:val="Hyperlink"/>
            <w:noProof/>
          </w:rPr>
          <w:t>Daten zur Akkreditierung</w:t>
        </w:r>
        <w:r>
          <w:rPr>
            <w:noProof/>
            <w:webHidden/>
          </w:rPr>
          <w:tab/>
        </w:r>
        <w:bookmarkStart w:id="1" w:name="_GoBack"/>
        <w:bookmarkEnd w:id="1"/>
        <w:r>
          <w:rPr>
            <w:noProof/>
            <w:webHidden/>
          </w:rPr>
          <w:fldChar w:fldCharType="begin"/>
        </w:r>
        <w:r>
          <w:rPr>
            <w:noProof/>
            <w:webHidden/>
          </w:rPr>
          <w:instrText xml:space="preserve"> PAGEREF _Toc190351724 \h </w:instrText>
        </w:r>
        <w:r>
          <w:rPr>
            <w:noProof/>
            <w:webHidden/>
          </w:rPr>
        </w:r>
        <w:r>
          <w:rPr>
            <w:noProof/>
            <w:webHidden/>
          </w:rPr>
          <w:fldChar w:fldCharType="separate"/>
        </w:r>
        <w:r>
          <w:rPr>
            <w:noProof/>
            <w:webHidden/>
          </w:rPr>
          <w:t>34</w:t>
        </w:r>
        <w:r>
          <w:rPr>
            <w:noProof/>
            <w:webHidden/>
          </w:rPr>
          <w:fldChar w:fldCharType="end"/>
        </w:r>
      </w:hyperlink>
    </w:p>
    <w:p w14:paraId="3581DC45" w14:textId="09714FA0" w:rsidR="00BA4FDF" w:rsidRDefault="00BA4FDF">
      <w:pPr>
        <w:pStyle w:val="Verzeichnis1"/>
        <w:tabs>
          <w:tab w:val="left" w:pos="440"/>
          <w:tab w:val="right" w:leader="dot" w:pos="9344"/>
        </w:tabs>
        <w:rPr>
          <w:rFonts w:eastAsiaTheme="minorEastAsia" w:cstheme="minorBidi"/>
          <w:b w:val="0"/>
          <w:bCs w:val="0"/>
          <w:noProof/>
          <w:sz w:val="22"/>
          <w:szCs w:val="22"/>
        </w:rPr>
      </w:pPr>
      <w:hyperlink w:anchor="_Toc190351725" w:history="1">
        <w:r w:rsidRPr="008D6DD0">
          <w:rPr>
            <w:rStyle w:val="Hyperlink"/>
            <w:noProof/>
          </w:rPr>
          <w:t>5</w:t>
        </w:r>
        <w:r>
          <w:rPr>
            <w:rFonts w:eastAsiaTheme="minorEastAsia" w:cstheme="minorBidi"/>
            <w:b w:val="0"/>
            <w:bCs w:val="0"/>
            <w:noProof/>
            <w:sz w:val="22"/>
            <w:szCs w:val="22"/>
          </w:rPr>
          <w:tab/>
        </w:r>
        <w:r w:rsidRPr="008D6DD0">
          <w:rPr>
            <w:rStyle w:val="Hyperlink"/>
            <w:noProof/>
          </w:rPr>
          <w:t>Glossar</w:t>
        </w:r>
        <w:r>
          <w:rPr>
            <w:noProof/>
            <w:webHidden/>
          </w:rPr>
          <w:tab/>
        </w:r>
        <w:r>
          <w:rPr>
            <w:noProof/>
            <w:webHidden/>
          </w:rPr>
          <w:fldChar w:fldCharType="begin"/>
        </w:r>
        <w:r>
          <w:rPr>
            <w:noProof/>
            <w:webHidden/>
          </w:rPr>
          <w:instrText xml:space="preserve"> PAGEREF _Toc190351725 \h </w:instrText>
        </w:r>
        <w:r>
          <w:rPr>
            <w:noProof/>
            <w:webHidden/>
          </w:rPr>
        </w:r>
        <w:r>
          <w:rPr>
            <w:noProof/>
            <w:webHidden/>
          </w:rPr>
          <w:fldChar w:fldCharType="separate"/>
        </w:r>
        <w:r>
          <w:rPr>
            <w:noProof/>
            <w:webHidden/>
          </w:rPr>
          <w:t>35</w:t>
        </w:r>
        <w:r>
          <w:rPr>
            <w:noProof/>
            <w:webHidden/>
          </w:rPr>
          <w:fldChar w:fldCharType="end"/>
        </w:r>
      </w:hyperlink>
    </w:p>
    <w:p w14:paraId="51EC029B" w14:textId="6FF1A40C" w:rsidR="00BA4FDF" w:rsidRDefault="00BA4FDF">
      <w:pPr>
        <w:pStyle w:val="Verzeichnis1"/>
        <w:tabs>
          <w:tab w:val="left" w:pos="440"/>
          <w:tab w:val="right" w:leader="dot" w:pos="9344"/>
        </w:tabs>
        <w:rPr>
          <w:rFonts w:eastAsiaTheme="minorEastAsia" w:cstheme="minorBidi"/>
          <w:b w:val="0"/>
          <w:bCs w:val="0"/>
          <w:noProof/>
          <w:sz w:val="22"/>
          <w:szCs w:val="22"/>
        </w:rPr>
      </w:pPr>
      <w:hyperlink w:anchor="_Toc190351726" w:history="1">
        <w:r w:rsidRPr="008D6DD0">
          <w:rPr>
            <w:rStyle w:val="Hyperlink"/>
            <w:noProof/>
          </w:rPr>
          <w:t>6</w:t>
        </w:r>
        <w:r>
          <w:rPr>
            <w:rFonts w:eastAsiaTheme="minorEastAsia" w:cstheme="minorBidi"/>
            <w:b w:val="0"/>
            <w:bCs w:val="0"/>
            <w:noProof/>
            <w:sz w:val="22"/>
            <w:szCs w:val="22"/>
          </w:rPr>
          <w:tab/>
        </w:r>
        <w:r w:rsidRPr="008D6DD0">
          <w:rPr>
            <w:rStyle w:val="Hyperlink"/>
            <w:noProof/>
          </w:rPr>
          <w:t>Anhang: Studienverlaufsplan</w:t>
        </w:r>
        <w:r>
          <w:rPr>
            <w:noProof/>
            <w:webHidden/>
          </w:rPr>
          <w:tab/>
        </w:r>
        <w:r>
          <w:rPr>
            <w:noProof/>
            <w:webHidden/>
          </w:rPr>
          <w:fldChar w:fldCharType="begin"/>
        </w:r>
        <w:r>
          <w:rPr>
            <w:noProof/>
            <w:webHidden/>
          </w:rPr>
          <w:instrText xml:space="preserve"> PAGEREF _Toc190351726 \h </w:instrText>
        </w:r>
        <w:r>
          <w:rPr>
            <w:noProof/>
            <w:webHidden/>
          </w:rPr>
        </w:r>
        <w:r>
          <w:rPr>
            <w:noProof/>
            <w:webHidden/>
          </w:rPr>
          <w:fldChar w:fldCharType="separate"/>
        </w:r>
        <w:r>
          <w:rPr>
            <w:noProof/>
            <w:webHidden/>
          </w:rPr>
          <w:t>36</w:t>
        </w:r>
        <w:r>
          <w:rPr>
            <w:noProof/>
            <w:webHidden/>
          </w:rPr>
          <w:fldChar w:fldCharType="end"/>
        </w:r>
      </w:hyperlink>
    </w:p>
    <w:p w14:paraId="33C9A6E7" w14:textId="078D2F66" w:rsidR="00877A39" w:rsidRPr="00A3772C" w:rsidRDefault="00877A39" w:rsidP="000542D8">
      <w:pPr>
        <w:spacing w:before="0" w:line="240" w:lineRule="auto"/>
        <w:jc w:val="left"/>
        <w:rPr>
          <w:rFonts w:cs="Arial"/>
        </w:rPr>
      </w:pPr>
      <w:r w:rsidRPr="001B6906">
        <w:rPr>
          <w:rFonts w:cs="Arial"/>
          <w:sz w:val="18"/>
          <w:szCs w:val="18"/>
        </w:rPr>
        <w:fldChar w:fldCharType="end"/>
      </w:r>
    </w:p>
    <w:p w14:paraId="5A14C8AE" w14:textId="77777777" w:rsidR="00877A39" w:rsidRPr="00A3772C" w:rsidRDefault="00877A39">
      <w:pPr>
        <w:spacing w:before="0" w:line="240" w:lineRule="auto"/>
        <w:jc w:val="left"/>
        <w:rPr>
          <w:rFonts w:cs="Arial"/>
          <w:b/>
          <w:bCs/>
          <w:szCs w:val="22"/>
          <w:lang w:eastAsia="en-US"/>
        </w:rPr>
      </w:pPr>
      <w:r w:rsidRPr="00A3772C">
        <w:br w:type="page"/>
      </w:r>
    </w:p>
    <w:p w14:paraId="6A63901A" w14:textId="77777777" w:rsidR="00F749CF" w:rsidRPr="00B30A06" w:rsidRDefault="00F749CF" w:rsidP="00F749CF">
      <w:pPr>
        <w:pStyle w:val="berschrift2"/>
        <w:numPr>
          <w:ilvl w:val="0"/>
          <w:numId w:val="0"/>
        </w:numPr>
        <w:spacing w:after="240"/>
        <w:ind w:left="567" w:hanging="567"/>
      </w:pPr>
      <w:bookmarkStart w:id="2" w:name="_Toc190351684"/>
      <w:r w:rsidRPr="00B30A06">
        <w:lastRenderedPageBreak/>
        <w:t>Ergebnisse auf einen Blick</w:t>
      </w:r>
      <w:bookmarkEnd w:id="2"/>
    </w:p>
    <w:p w14:paraId="089C2DEF" w14:textId="77777777" w:rsidR="00F749CF" w:rsidRPr="00B30A06" w:rsidRDefault="00F749CF" w:rsidP="00457100">
      <w:pPr>
        <w:spacing w:before="0" w:after="120"/>
        <w:rPr>
          <w:rFonts w:cs="Arial"/>
          <w:b/>
          <w:szCs w:val="22"/>
        </w:rPr>
      </w:pPr>
      <w:r w:rsidRPr="00B30A06">
        <w:rPr>
          <w:rFonts w:cs="Arial"/>
          <w:b/>
          <w:szCs w:val="22"/>
        </w:rPr>
        <w:t xml:space="preserve">Entscheidungsvorschlag der Agentur zur Erfüllung der formalen Kriterien gemäß Prüfbericht (Ziffer </w:t>
      </w:r>
      <w:r w:rsidR="0084059E">
        <w:rPr>
          <w:rFonts w:cs="Arial"/>
          <w:b/>
          <w:szCs w:val="22"/>
        </w:rPr>
        <w:t>1</w:t>
      </w:r>
      <w:r w:rsidRPr="00B30A06">
        <w:rPr>
          <w:rFonts w:cs="Arial"/>
          <w:b/>
          <w:szCs w:val="22"/>
        </w:rPr>
        <w:t>)</w:t>
      </w:r>
    </w:p>
    <w:p w14:paraId="6A9AE04B" w14:textId="77777777" w:rsidR="00F749CF" w:rsidRPr="00B30A06" w:rsidRDefault="00F749CF" w:rsidP="00457100">
      <w:pPr>
        <w:spacing w:before="0" w:after="120"/>
        <w:rPr>
          <w:rFonts w:cs="Arial"/>
          <w:szCs w:val="22"/>
          <w:lang w:eastAsia="en-US"/>
        </w:rPr>
      </w:pPr>
      <w:r w:rsidRPr="00B30A06">
        <w:rPr>
          <w:rFonts w:cs="Arial"/>
          <w:szCs w:val="22"/>
          <w:lang w:eastAsia="en-US"/>
        </w:rPr>
        <w:t>Die formalen Kriterien sind</w:t>
      </w:r>
    </w:p>
    <w:p w14:paraId="529B9F78" w14:textId="77777777" w:rsidR="00F749CF" w:rsidRPr="00B30A06" w:rsidRDefault="00F33389" w:rsidP="00457100">
      <w:pPr>
        <w:spacing w:before="0" w:after="120"/>
        <w:rPr>
          <w:rFonts w:cs="Arial"/>
          <w:szCs w:val="22"/>
          <w:lang w:eastAsia="en-US"/>
        </w:rPr>
      </w:pPr>
      <w:sdt>
        <w:sdtPr>
          <w:rPr>
            <w:rFonts w:cs="Arial"/>
            <w:szCs w:val="22"/>
            <w:lang w:eastAsia="en-US"/>
          </w:rPr>
          <w:id w:val="-2024621344"/>
          <w14:checkbox>
            <w14:checked w14:val="1"/>
            <w14:checkedState w14:val="2612" w14:font="MS Gothic"/>
            <w14:uncheckedState w14:val="2610" w14:font="MS Gothic"/>
          </w14:checkbox>
        </w:sdtPr>
        <w:sdtContent>
          <w:r w:rsidR="00AF07DE">
            <w:rPr>
              <w:rFonts w:ascii="MS Gothic" w:eastAsia="MS Gothic" w:hAnsi="MS Gothic" w:cs="Arial" w:hint="eastAsia"/>
              <w:szCs w:val="22"/>
              <w:lang w:eastAsia="en-US"/>
            </w:rPr>
            <w:t>☒</w:t>
          </w:r>
        </w:sdtContent>
      </w:sdt>
      <w:r w:rsidR="00F749CF" w:rsidRPr="00B30A06">
        <w:rPr>
          <w:rFonts w:cs="Arial"/>
          <w:szCs w:val="22"/>
          <w:lang w:eastAsia="en-US"/>
        </w:rPr>
        <w:t xml:space="preserve"> erfüllt</w:t>
      </w:r>
    </w:p>
    <w:p w14:paraId="3741B2F5" w14:textId="77777777" w:rsidR="00F749CF" w:rsidRPr="00B30A06" w:rsidRDefault="00F33389" w:rsidP="00457100">
      <w:pPr>
        <w:spacing w:before="0" w:after="120"/>
        <w:rPr>
          <w:rFonts w:cs="Arial"/>
          <w:szCs w:val="22"/>
          <w:lang w:eastAsia="en-US"/>
        </w:rPr>
      </w:pPr>
      <w:sdt>
        <w:sdtPr>
          <w:rPr>
            <w:rFonts w:cs="Arial"/>
            <w:szCs w:val="22"/>
            <w:lang w:eastAsia="en-US"/>
          </w:rPr>
          <w:id w:val="-29343359"/>
          <w14:checkbox>
            <w14:checked w14:val="0"/>
            <w14:checkedState w14:val="2612" w14:font="MS Gothic"/>
            <w14:uncheckedState w14:val="2610" w14:font="MS Gothic"/>
          </w14:checkbox>
        </w:sdtPr>
        <w:sdtContent>
          <w:r w:rsidR="00056ECF">
            <w:rPr>
              <w:rFonts w:ascii="MS Gothic" w:eastAsia="MS Gothic" w:hAnsi="MS Gothic" w:cs="Arial" w:hint="eastAsia"/>
              <w:szCs w:val="22"/>
              <w:lang w:eastAsia="en-US"/>
            </w:rPr>
            <w:t>☐</w:t>
          </w:r>
        </w:sdtContent>
      </w:sdt>
      <w:r w:rsidR="00F749CF" w:rsidRPr="00B30A06">
        <w:rPr>
          <w:rFonts w:cs="Arial"/>
          <w:szCs w:val="22"/>
          <w:lang w:eastAsia="en-US"/>
        </w:rPr>
        <w:t xml:space="preserve"> nicht erfüllt</w:t>
      </w:r>
    </w:p>
    <w:p w14:paraId="6E7B3E36" w14:textId="77777777" w:rsidR="00F749CF" w:rsidRPr="00B30A06" w:rsidRDefault="00F749CF" w:rsidP="00457100">
      <w:pPr>
        <w:spacing w:before="0" w:after="120"/>
        <w:rPr>
          <w:rFonts w:cs="Arial"/>
          <w:szCs w:val="22"/>
          <w:lang w:eastAsia="en-US"/>
        </w:rPr>
      </w:pPr>
    </w:p>
    <w:p w14:paraId="090E9C53" w14:textId="77777777" w:rsidR="00F749CF" w:rsidRPr="00B30A06" w:rsidRDefault="00F749CF" w:rsidP="00457100">
      <w:pPr>
        <w:spacing w:before="0" w:after="120"/>
        <w:rPr>
          <w:rFonts w:cs="Arial"/>
          <w:b/>
          <w:szCs w:val="22"/>
        </w:rPr>
      </w:pPr>
      <w:r w:rsidRPr="00B30A06">
        <w:rPr>
          <w:rFonts w:cs="Arial"/>
          <w:b/>
          <w:szCs w:val="22"/>
        </w:rPr>
        <w:t xml:space="preserve">Entscheidungsvorschlag des Gutachtergremiums zur Erfüllung der fachlich-inhaltlichen Kriterien gemäß Gutachten (Ziffer </w:t>
      </w:r>
      <w:r w:rsidR="0084059E">
        <w:rPr>
          <w:rFonts w:cs="Arial"/>
          <w:b/>
          <w:szCs w:val="22"/>
        </w:rPr>
        <w:t>2</w:t>
      </w:r>
      <w:r w:rsidRPr="00B30A06">
        <w:rPr>
          <w:rFonts w:cs="Arial"/>
          <w:b/>
          <w:szCs w:val="22"/>
        </w:rPr>
        <w:t>)</w:t>
      </w:r>
    </w:p>
    <w:p w14:paraId="108FD5A0" w14:textId="77777777" w:rsidR="00F749CF" w:rsidRPr="00B30A06" w:rsidRDefault="00F749CF" w:rsidP="00457100">
      <w:pPr>
        <w:spacing w:before="0" w:after="120"/>
        <w:rPr>
          <w:rFonts w:cs="Arial"/>
          <w:szCs w:val="22"/>
          <w:lang w:eastAsia="en-US"/>
        </w:rPr>
      </w:pPr>
      <w:r w:rsidRPr="00B30A06">
        <w:rPr>
          <w:rFonts w:cs="Arial"/>
          <w:szCs w:val="22"/>
          <w:lang w:eastAsia="en-US"/>
        </w:rPr>
        <w:t>Die fachlich-inhaltlichen Kriterien sind</w:t>
      </w:r>
    </w:p>
    <w:p w14:paraId="79031AD0" w14:textId="77777777" w:rsidR="00F749CF" w:rsidRPr="00B30A06" w:rsidRDefault="00F33389" w:rsidP="00457100">
      <w:pPr>
        <w:spacing w:before="0" w:after="120"/>
        <w:rPr>
          <w:rFonts w:cs="Arial"/>
          <w:szCs w:val="22"/>
          <w:lang w:eastAsia="en-US"/>
        </w:rPr>
      </w:pPr>
      <w:sdt>
        <w:sdtPr>
          <w:rPr>
            <w:rFonts w:cs="Arial"/>
            <w:szCs w:val="22"/>
            <w:lang w:eastAsia="en-US"/>
          </w:rPr>
          <w:id w:val="-888792931"/>
          <w14:checkbox>
            <w14:checked w14:val="0"/>
            <w14:checkedState w14:val="2612" w14:font="MS Gothic"/>
            <w14:uncheckedState w14:val="2610" w14:font="MS Gothic"/>
          </w14:checkbox>
        </w:sdtPr>
        <w:sdtContent>
          <w:r w:rsidR="0084059E">
            <w:rPr>
              <w:rFonts w:ascii="MS Gothic" w:eastAsia="MS Gothic" w:hAnsi="MS Gothic" w:cs="Arial" w:hint="eastAsia"/>
              <w:szCs w:val="22"/>
              <w:lang w:eastAsia="en-US"/>
            </w:rPr>
            <w:t>☐</w:t>
          </w:r>
        </w:sdtContent>
      </w:sdt>
      <w:r w:rsidR="00F749CF" w:rsidRPr="00B30A06">
        <w:rPr>
          <w:rFonts w:cs="Arial"/>
          <w:szCs w:val="22"/>
          <w:lang w:eastAsia="en-US"/>
        </w:rPr>
        <w:t xml:space="preserve"> erfüllt</w:t>
      </w:r>
    </w:p>
    <w:p w14:paraId="0728868A" w14:textId="77777777" w:rsidR="00F749CF" w:rsidRPr="00B30A06" w:rsidRDefault="00F33389" w:rsidP="00457100">
      <w:pPr>
        <w:spacing w:before="0" w:after="120"/>
        <w:rPr>
          <w:rFonts w:cs="Arial"/>
          <w:szCs w:val="22"/>
          <w:lang w:eastAsia="en-US"/>
        </w:rPr>
      </w:pPr>
      <w:sdt>
        <w:sdtPr>
          <w:rPr>
            <w:rFonts w:cs="Arial"/>
            <w:szCs w:val="22"/>
            <w:lang w:eastAsia="en-US"/>
          </w:rPr>
          <w:id w:val="1127896991"/>
          <w14:checkbox>
            <w14:checked w14:val="1"/>
            <w14:checkedState w14:val="2612" w14:font="MS Gothic"/>
            <w14:uncheckedState w14:val="2610" w14:font="MS Gothic"/>
          </w14:checkbox>
        </w:sdtPr>
        <w:sdtContent>
          <w:r w:rsidR="00D903F4">
            <w:rPr>
              <w:rFonts w:ascii="MS Gothic" w:eastAsia="MS Gothic" w:hAnsi="MS Gothic" w:cs="Arial" w:hint="eastAsia"/>
              <w:szCs w:val="22"/>
              <w:lang w:eastAsia="en-US"/>
            </w:rPr>
            <w:t>☒</w:t>
          </w:r>
        </w:sdtContent>
      </w:sdt>
      <w:r w:rsidR="00F749CF" w:rsidRPr="00B30A06">
        <w:rPr>
          <w:rFonts w:cs="Arial"/>
          <w:szCs w:val="22"/>
          <w:lang w:eastAsia="en-US"/>
        </w:rPr>
        <w:t xml:space="preserve"> nicht erfüllt</w:t>
      </w:r>
    </w:p>
    <w:p w14:paraId="38BE220B" w14:textId="77777777" w:rsidR="00F749CF" w:rsidRPr="00B30A06" w:rsidRDefault="00F749CF" w:rsidP="00457100">
      <w:pPr>
        <w:spacing w:before="0" w:after="120"/>
        <w:rPr>
          <w:rFonts w:cs="Arial"/>
          <w:szCs w:val="22"/>
          <w:lang w:eastAsia="en-US"/>
        </w:rPr>
      </w:pPr>
      <w:r w:rsidRPr="00D903F4">
        <w:rPr>
          <w:rFonts w:cs="Arial"/>
          <w:szCs w:val="22"/>
          <w:lang w:eastAsia="en-US"/>
        </w:rPr>
        <w:t xml:space="preserve">Das Gutachtergremium </w:t>
      </w:r>
      <w:r w:rsidRPr="00B30A06">
        <w:rPr>
          <w:rFonts w:cs="Arial"/>
          <w:szCs w:val="22"/>
          <w:lang w:eastAsia="en-US"/>
        </w:rPr>
        <w:t>schlägt dem Akkred</w:t>
      </w:r>
      <w:r w:rsidR="00D903F4">
        <w:rPr>
          <w:rFonts w:cs="Arial"/>
          <w:szCs w:val="22"/>
          <w:lang w:eastAsia="en-US"/>
        </w:rPr>
        <w:t>itierungsrat folgende Auflagen</w:t>
      </w:r>
      <w:r w:rsidRPr="00B30A06">
        <w:rPr>
          <w:rFonts w:cs="Arial"/>
          <w:szCs w:val="22"/>
          <w:lang w:eastAsia="en-US"/>
        </w:rPr>
        <w:t xml:space="preserve"> vor:</w:t>
      </w:r>
    </w:p>
    <w:p w14:paraId="5091A7CA" w14:textId="77777777" w:rsidR="00C86AD3" w:rsidRDefault="00C86AD3" w:rsidP="00C86AD3">
      <w:pPr>
        <w:spacing w:before="0" w:after="120"/>
        <w:rPr>
          <w:rFonts w:cs="Arial"/>
          <w:szCs w:val="22"/>
          <w:lang w:eastAsia="en-US"/>
        </w:rPr>
      </w:pPr>
      <w:r>
        <w:rPr>
          <w:rFonts w:cs="Arial"/>
          <w:szCs w:val="22"/>
          <w:lang w:eastAsia="en-US"/>
        </w:rPr>
        <w:t xml:space="preserve">Auflage 1 </w:t>
      </w:r>
      <w:r w:rsidRPr="00C86AD3">
        <w:rPr>
          <w:rFonts w:cs="Arial"/>
          <w:szCs w:val="22"/>
          <w:lang w:eastAsia="en-US"/>
        </w:rPr>
        <w:t xml:space="preserve">(§ 12 Abs. 1 Sätze 1 bis 3 und 5 </w:t>
      </w:r>
      <w:proofErr w:type="spellStart"/>
      <w:r w:rsidRPr="00C86AD3">
        <w:rPr>
          <w:rFonts w:cs="Arial"/>
          <w:szCs w:val="22"/>
          <w:lang w:eastAsia="en-US"/>
        </w:rPr>
        <w:t>StudAkkV</w:t>
      </w:r>
      <w:proofErr w:type="spellEnd"/>
      <w:r w:rsidRPr="00C86AD3">
        <w:rPr>
          <w:rFonts w:cs="Arial"/>
          <w:szCs w:val="22"/>
          <w:lang w:eastAsia="en-US"/>
        </w:rPr>
        <w:t>)</w:t>
      </w:r>
      <w:r>
        <w:rPr>
          <w:rFonts w:cs="Arial"/>
          <w:szCs w:val="22"/>
          <w:lang w:eastAsia="en-US"/>
        </w:rPr>
        <w:t>:</w:t>
      </w:r>
      <w:r w:rsidRPr="00C86AD3">
        <w:rPr>
          <w:rFonts w:cs="Arial"/>
          <w:szCs w:val="22"/>
          <w:lang w:eastAsia="en-US"/>
        </w:rPr>
        <w:t xml:space="preserve"> Es muss sichergestellt werden, dass die Auflagenmodule in englischer Sprache durchgeführt werden.</w:t>
      </w:r>
    </w:p>
    <w:p w14:paraId="46FE7B9A" w14:textId="07C05826" w:rsidR="00F749CF" w:rsidRDefault="00C86AD3" w:rsidP="00C86AD3">
      <w:pPr>
        <w:spacing w:before="0" w:after="120"/>
        <w:rPr>
          <w:rFonts w:cs="Arial"/>
          <w:szCs w:val="22"/>
          <w:lang w:eastAsia="en-US"/>
        </w:rPr>
      </w:pPr>
      <w:r>
        <w:rPr>
          <w:rFonts w:cs="Arial"/>
          <w:szCs w:val="22"/>
          <w:lang w:eastAsia="en-US"/>
        </w:rPr>
        <w:t xml:space="preserve">Auflage 2 </w:t>
      </w:r>
      <w:r w:rsidRPr="00C86AD3">
        <w:rPr>
          <w:rFonts w:cs="Arial"/>
          <w:szCs w:val="22"/>
          <w:lang w:eastAsia="en-US"/>
        </w:rPr>
        <w:t xml:space="preserve">(§ 12 Abs. 5 </w:t>
      </w:r>
      <w:proofErr w:type="spellStart"/>
      <w:r w:rsidRPr="00C86AD3">
        <w:rPr>
          <w:rFonts w:cs="Arial"/>
          <w:szCs w:val="22"/>
          <w:lang w:eastAsia="en-US"/>
        </w:rPr>
        <w:t>StudAkkV</w:t>
      </w:r>
      <w:proofErr w:type="spellEnd"/>
      <w:r w:rsidRPr="00C86AD3">
        <w:rPr>
          <w:rFonts w:cs="Arial"/>
          <w:szCs w:val="22"/>
          <w:lang w:eastAsia="en-US"/>
        </w:rPr>
        <w:t>)</w:t>
      </w:r>
      <w:r>
        <w:rPr>
          <w:rFonts w:cs="Arial"/>
          <w:szCs w:val="22"/>
          <w:lang w:eastAsia="en-US"/>
        </w:rPr>
        <w:t>:</w:t>
      </w:r>
      <w:r w:rsidRPr="00C86AD3">
        <w:rPr>
          <w:rFonts w:cs="Arial"/>
          <w:szCs w:val="22"/>
          <w:lang w:eastAsia="en-US"/>
        </w:rPr>
        <w:t xml:space="preserve"> Die Hochschule muss den S</w:t>
      </w:r>
      <w:r>
        <w:rPr>
          <w:rFonts w:cs="Arial"/>
          <w:szCs w:val="22"/>
          <w:lang w:eastAsia="en-US"/>
        </w:rPr>
        <w:t>tudierenden ermöglichen</w:t>
      </w:r>
      <w:r w:rsidR="00BA4FDF">
        <w:rPr>
          <w:rFonts w:cs="Arial"/>
          <w:szCs w:val="22"/>
          <w:lang w:eastAsia="en-US"/>
        </w:rPr>
        <w:t>,</w:t>
      </w:r>
      <w:r>
        <w:rPr>
          <w:rFonts w:cs="Arial"/>
          <w:szCs w:val="22"/>
          <w:lang w:eastAsia="en-US"/>
        </w:rPr>
        <w:t xml:space="preserve"> ihr Stu</w:t>
      </w:r>
      <w:r w:rsidRPr="00C86AD3">
        <w:rPr>
          <w:rFonts w:cs="Arial"/>
          <w:szCs w:val="22"/>
          <w:lang w:eastAsia="en-US"/>
        </w:rPr>
        <w:t>dium mit 120 ECTS Punkten abzuschließen.</w:t>
      </w:r>
    </w:p>
    <w:p w14:paraId="02C89450" w14:textId="77777777" w:rsidR="00C86AD3" w:rsidRPr="00B30A06" w:rsidRDefault="00C86AD3" w:rsidP="00C86AD3">
      <w:pPr>
        <w:spacing w:before="0" w:after="120"/>
        <w:rPr>
          <w:rFonts w:cs="Arial"/>
          <w:szCs w:val="22"/>
          <w:lang w:eastAsia="en-US"/>
        </w:rPr>
      </w:pPr>
    </w:p>
    <w:p w14:paraId="2BD8A5B4" w14:textId="77777777" w:rsidR="00F749CF" w:rsidRPr="00076745" w:rsidRDefault="00F749CF" w:rsidP="00457100">
      <w:pPr>
        <w:spacing w:before="0" w:after="120"/>
        <w:rPr>
          <w:rFonts w:cs="Arial"/>
          <w:b/>
          <w:szCs w:val="22"/>
        </w:rPr>
      </w:pPr>
      <w:r w:rsidRPr="00B30A06">
        <w:rPr>
          <w:rFonts w:cs="Arial"/>
          <w:b/>
          <w:szCs w:val="22"/>
        </w:rPr>
        <w:t>Gesonderte Zustimmung bei reglementierten Studiengängen</w:t>
      </w:r>
      <w:r w:rsidR="00076745">
        <w:rPr>
          <w:rFonts w:cs="Arial"/>
          <w:b/>
          <w:szCs w:val="22"/>
        </w:rPr>
        <w:t xml:space="preserve"> </w:t>
      </w:r>
      <w:r w:rsidR="00076745" w:rsidRPr="00076745">
        <w:rPr>
          <w:rFonts w:cs="Arial"/>
          <w:b/>
          <w:szCs w:val="22"/>
        </w:rPr>
        <w:t xml:space="preserve">gemäß </w:t>
      </w:r>
      <w:r w:rsidR="00076745" w:rsidRPr="00076745">
        <w:rPr>
          <w:rFonts w:cs="Arial"/>
          <w:b/>
          <w:i/>
          <w:szCs w:val="22"/>
        </w:rPr>
        <w:t>§</w:t>
      </w:r>
      <w:r w:rsidR="009E3260">
        <w:rPr>
          <w:rFonts w:cs="Arial"/>
          <w:b/>
          <w:i/>
          <w:szCs w:val="22"/>
        </w:rPr>
        <w:t xml:space="preserve"> 24 Abs 3 Satz 1 und § 25 Abs. 1 Satz 5</w:t>
      </w:r>
      <w:r w:rsidR="007D16E5">
        <w:rPr>
          <w:rFonts w:cs="Arial"/>
          <w:b/>
          <w:i/>
          <w:szCs w:val="22"/>
        </w:rPr>
        <w:t xml:space="preserve"> </w:t>
      </w:r>
      <w:proofErr w:type="spellStart"/>
      <w:r w:rsidR="00BD500A">
        <w:rPr>
          <w:rFonts w:cs="Arial"/>
          <w:b/>
          <w:i/>
          <w:szCs w:val="22"/>
        </w:rPr>
        <w:t>StudAkkV</w:t>
      </w:r>
      <w:proofErr w:type="spellEnd"/>
    </w:p>
    <w:p w14:paraId="3159AD4E" w14:textId="77777777" w:rsidR="00F749CF" w:rsidRPr="00B30A06" w:rsidRDefault="00AF07DE" w:rsidP="00457100">
      <w:pPr>
        <w:spacing w:before="0" w:after="120"/>
        <w:rPr>
          <w:rFonts w:cs="Arial"/>
          <w:i/>
          <w:szCs w:val="22"/>
        </w:rPr>
      </w:pPr>
      <w:r>
        <w:rPr>
          <w:rFonts w:cs="Arial"/>
          <w:i/>
          <w:szCs w:val="22"/>
        </w:rPr>
        <w:t>Nicht angezeigt.</w:t>
      </w:r>
    </w:p>
    <w:p w14:paraId="585A44AE" w14:textId="77777777" w:rsidR="00F749CF" w:rsidRPr="00B30A06" w:rsidRDefault="00F749CF" w:rsidP="00F749CF">
      <w:pPr>
        <w:rPr>
          <w:rFonts w:cs="Arial"/>
          <w:szCs w:val="22"/>
        </w:rPr>
      </w:pPr>
      <w:r w:rsidRPr="00B30A06">
        <w:rPr>
          <w:rFonts w:cs="Arial"/>
          <w:szCs w:val="22"/>
        </w:rPr>
        <w:br w:type="page"/>
      </w:r>
    </w:p>
    <w:p w14:paraId="1A099BA8" w14:textId="77777777" w:rsidR="00056886" w:rsidRPr="00457100" w:rsidRDefault="00056886" w:rsidP="00457100">
      <w:pPr>
        <w:pStyle w:val="berschrift2"/>
        <w:numPr>
          <w:ilvl w:val="0"/>
          <w:numId w:val="0"/>
        </w:numPr>
        <w:spacing w:before="0" w:after="120"/>
        <w:ind w:left="567" w:hanging="567"/>
      </w:pPr>
      <w:bookmarkStart w:id="3" w:name="_Toc190351685"/>
      <w:r w:rsidRPr="00457100">
        <w:lastRenderedPageBreak/>
        <w:t>Kurzprofil des Studiengangs</w:t>
      </w:r>
      <w:bookmarkEnd w:id="3"/>
    </w:p>
    <w:p w14:paraId="7DA54AB4" w14:textId="77777777" w:rsidR="00D903F4" w:rsidRPr="00D903F4" w:rsidRDefault="00D903F4" w:rsidP="00D903F4">
      <w:pPr>
        <w:spacing w:before="0" w:after="120"/>
        <w:rPr>
          <w:rFonts w:cs="Arial"/>
          <w:szCs w:val="22"/>
        </w:rPr>
      </w:pPr>
      <w:r w:rsidRPr="00D903F4">
        <w:rPr>
          <w:rFonts w:cs="Arial"/>
          <w:szCs w:val="22"/>
        </w:rPr>
        <w:t xml:space="preserve">Die Universität stellt den Studiengang auf der Webseite folgendermaßen dar: </w:t>
      </w:r>
    </w:p>
    <w:p w14:paraId="492FD0F4" w14:textId="77777777" w:rsidR="00D903F4" w:rsidRDefault="00D903F4" w:rsidP="00D903F4">
      <w:pPr>
        <w:spacing w:before="0" w:after="120"/>
        <w:rPr>
          <w:rFonts w:cs="Arial"/>
          <w:szCs w:val="22"/>
        </w:rPr>
      </w:pPr>
      <w:r w:rsidRPr="00D903F4">
        <w:rPr>
          <w:rFonts w:cs="Arial"/>
          <w:szCs w:val="22"/>
        </w:rPr>
        <w:t>Der Masterstudiengang Mikro- und Nanoelektronik richtet sich an Physiker und Elektrotechniker, die eine Karriere in der Halbleiterindustrie und -forschung anstreben</w:t>
      </w:r>
      <w:r w:rsidR="0099464C">
        <w:rPr>
          <w:rFonts w:cs="Arial"/>
          <w:szCs w:val="22"/>
        </w:rPr>
        <w:t xml:space="preserve"> und in ihrem Bachelors</w:t>
      </w:r>
      <w:r w:rsidRPr="00D903F4">
        <w:rPr>
          <w:rFonts w:cs="Arial"/>
          <w:szCs w:val="22"/>
        </w:rPr>
        <w:t xml:space="preserve">tudiengang </w:t>
      </w:r>
      <w:r w:rsidR="0099464C" w:rsidRPr="00D903F4">
        <w:rPr>
          <w:rFonts w:cs="Arial"/>
          <w:szCs w:val="22"/>
        </w:rPr>
        <w:t xml:space="preserve">bereits </w:t>
      </w:r>
      <w:r w:rsidRPr="00D903F4">
        <w:rPr>
          <w:rFonts w:cs="Arial"/>
          <w:szCs w:val="22"/>
        </w:rPr>
        <w:t>Festkörperphysik und/oder Elektronik studiert</w:t>
      </w:r>
      <w:r w:rsidR="0099464C">
        <w:rPr>
          <w:rFonts w:cs="Arial"/>
          <w:szCs w:val="22"/>
        </w:rPr>
        <w:t xml:space="preserve"> haben</w:t>
      </w:r>
      <w:r w:rsidRPr="00D903F4">
        <w:rPr>
          <w:rFonts w:cs="Arial"/>
          <w:szCs w:val="22"/>
        </w:rPr>
        <w:t>. Der Stud</w:t>
      </w:r>
      <w:r w:rsidR="0099464C">
        <w:rPr>
          <w:rFonts w:cs="Arial"/>
          <w:szCs w:val="22"/>
        </w:rPr>
        <w:t xml:space="preserve">iengang erweitert und vertieft </w:t>
      </w:r>
      <w:r w:rsidRPr="00D903F4">
        <w:rPr>
          <w:rFonts w:cs="Arial"/>
          <w:szCs w:val="22"/>
        </w:rPr>
        <w:t>Kenntnisse in den Bereichen Halbleiterphysik, -technologie und -</w:t>
      </w:r>
      <w:proofErr w:type="spellStart"/>
      <w:r w:rsidRPr="00D903F4">
        <w:rPr>
          <w:rFonts w:cs="Arial"/>
          <w:szCs w:val="22"/>
        </w:rPr>
        <w:t>bauelemente</w:t>
      </w:r>
      <w:proofErr w:type="spellEnd"/>
      <w:r w:rsidRPr="00D903F4">
        <w:rPr>
          <w:rFonts w:cs="Arial"/>
          <w:szCs w:val="22"/>
        </w:rPr>
        <w:t xml:space="preserve">, im Entwurf integrierter Schaltungen in verschiedenen Technologien, in der Aufbau- und Verbindungstechnik sowie in Anwendungsbereichen wie Kommunikation, Radar und Sensorik. Der Studiengang Mikro- und Nanoelektronik qualifiziert </w:t>
      </w:r>
      <w:proofErr w:type="spellStart"/>
      <w:proofErr w:type="gramStart"/>
      <w:r w:rsidR="0099464C">
        <w:rPr>
          <w:rFonts w:cs="Arial"/>
          <w:szCs w:val="22"/>
        </w:rPr>
        <w:t>Absolvent:innen</w:t>
      </w:r>
      <w:proofErr w:type="spellEnd"/>
      <w:proofErr w:type="gramEnd"/>
      <w:r w:rsidRPr="00D903F4">
        <w:rPr>
          <w:rFonts w:cs="Arial"/>
          <w:szCs w:val="22"/>
        </w:rPr>
        <w:t xml:space="preserve"> für Tätigkeiten in der Halbleiterindustrie in der Forschung und Entwicklung innovativer Halbleitertechnologien und Bauelemente oder im Entwurf innovativer integrierter Schaltungen. Für beide Berufsziele vermittelt der Studie</w:t>
      </w:r>
      <w:r w:rsidR="0099464C">
        <w:rPr>
          <w:rFonts w:cs="Arial"/>
          <w:szCs w:val="22"/>
        </w:rPr>
        <w:t>ngang Mikro- und Nanoelektronik</w:t>
      </w:r>
      <w:r w:rsidRPr="00D903F4">
        <w:rPr>
          <w:rFonts w:cs="Arial"/>
          <w:szCs w:val="22"/>
        </w:rPr>
        <w:t xml:space="preserve"> neben dem Fachwissen auch die Grundlagen der Halbleiterphysik und -elektronik und macht </w:t>
      </w:r>
      <w:r w:rsidR="0099464C">
        <w:rPr>
          <w:rFonts w:cs="Arial"/>
          <w:szCs w:val="22"/>
        </w:rPr>
        <w:t>Studierende</w:t>
      </w:r>
      <w:r w:rsidRPr="00D903F4">
        <w:rPr>
          <w:rFonts w:cs="Arial"/>
          <w:szCs w:val="22"/>
        </w:rPr>
        <w:t xml:space="preserve"> mit ausgewählten Anwendungsszenarien vertraut.</w:t>
      </w:r>
    </w:p>
    <w:p w14:paraId="4A6FFA54" w14:textId="77777777" w:rsidR="0099464C" w:rsidRDefault="0099464C" w:rsidP="00D903F4">
      <w:pPr>
        <w:spacing w:before="0" w:after="120"/>
        <w:rPr>
          <w:rFonts w:cs="Arial"/>
          <w:szCs w:val="22"/>
        </w:rPr>
      </w:pPr>
      <w:r w:rsidRPr="0099464C">
        <w:rPr>
          <w:rFonts w:cs="Arial"/>
          <w:szCs w:val="22"/>
        </w:rPr>
        <w:t xml:space="preserve">Der Studiengang umfasst vier Semester mit insgesamt 120 Leistungspunkten. Im ersten Semester werden in einführenden Modulen die unterschiedlichen Vorkenntnisse angeglichen: Physiker lernen die Elektronik kennen, während Elektrotechniker in einem Modul Festkörperphysik und Quantenmechanik kennenlernen. Die weiteren Module sind in drei Themenbereiche unterteilt: </w:t>
      </w:r>
      <w:r>
        <w:rPr>
          <w:rFonts w:cs="Arial"/>
          <w:szCs w:val="22"/>
        </w:rPr>
        <w:t>„Technologie und Bauelemente“, „Schaltungsentwurf“ und „Anwendungen“</w:t>
      </w:r>
      <w:r w:rsidRPr="0099464C">
        <w:rPr>
          <w:rFonts w:cs="Arial"/>
          <w:szCs w:val="22"/>
        </w:rPr>
        <w:t>. Aus jedem der Themenbereiche müssen zwei Wahlpflichtmodule gewählt werden. Durch die entsprechende Wahl von fünf weiteren Wahlpflichtmodulen kann der Schwerpunkt des Studiums bestimmt werden. Das Studium umfasst ein interdisziplinäres Modul sowie ein Forschungsprojekt im vorletzten Semester und die Masterarbeit im letzten Semester.</w:t>
      </w:r>
    </w:p>
    <w:p w14:paraId="44E3529D" w14:textId="77777777" w:rsidR="0099464C" w:rsidRDefault="0099464C" w:rsidP="00D903F4">
      <w:pPr>
        <w:spacing w:before="0" w:after="120"/>
        <w:rPr>
          <w:rFonts w:cs="Arial"/>
          <w:szCs w:val="22"/>
        </w:rPr>
      </w:pPr>
      <w:r w:rsidRPr="0099464C">
        <w:rPr>
          <w:rFonts w:cs="Arial"/>
          <w:szCs w:val="22"/>
        </w:rPr>
        <w:t>An dem Studiengang sind verschiedene Halbleiterforschungsinstitute in Deutschland beteiligt: Das Leibniz-Institut für innovative Mikroelektronik (IHP), das Ferdinand-Braun-Institut, das Leibniz-Institut für Höchstfrequenztechnik (FBH), das Fraunhofer-Institut für Mikrointegration und Zuverlässigkeit (</w:t>
      </w:r>
      <w:proofErr w:type="spellStart"/>
      <w:r w:rsidRPr="0099464C">
        <w:rPr>
          <w:rFonts w:cs="Arial"/>
          <w:szCs w:val="22"/>
        </w:rPr>
        <w:t>FhG</w:t>
      </w:r>
      <w:proofErr w:type="spellEnd"/>
      <w:r w:rsidRPr="0099464C">
        <w:rPr>
          <w:rFonts w:cs="Arial"/>
          <w:szCs w:val="22"/>
        </w:rPr>
        <w:t xml:space="preserve">-IZM) und das Fraunhofer-Institut für </w:t>
      </w:r>
      <w:proofErr w:type="spellStart"/>
      <w:r w:rsidRPr="0099464C">
        <w:rPr>
          <w:rFonts w:cs="Arial"/>
          <w:szCs w:val="22"/>
        </w:rPr>
        <w:t>Photonische</w:t>
      </w:r>
      <w:proofErr w:type="spellEnd"/>
      <w:r w:rsidRPr="0099464C">
        <w:rPr>
          <w:rFonts w:cs="Arial"/>
          <w:szCs w:val="22"/>
        </w:rPr>
        <w:t xml:space="preserve"> Mikrosysteme (</w:t>
      </w:r>
      <w:proofErr w:type="spellStart"/>
      <w:r w:rsidRPr="0099464C">
        <w:rPr>
          <w:rFonts w:cs="Arial"/>
          <w:szCs w:val="22"/>
        </w:rPr>
        <w:t>FhG</w:t>
      </w:r>
      <w:proofErr w:type="spellEnd"/>
      <w:r w:rsidRPr="0099464C">
        <w:rPr>
          <w:rFonts w:cs="Arial"/>
          <w:szCs w:val="22"/>
        </w:rPr>
        <w:t>-IMPS) wirken in der Lehre mit und bieten auch die Möglichkeit, das Forschungsmodul oder die Masterarbeit in der Praxis zu absolvieren.</w:t>
      </w:r>
    </w:p>
    <w:p w14:paraId="5FE532AA" w14:textId="77777777" w:rsidR="0099464C" w:rsidRPr="00D903F4" w:rsidRDefault="0099464C" w:rsidP="0099464C">
      <w:pPr>
        <w:spacing w:before="0" w:after="120"/>
        <w:rPr>
          <w:rFonts w:cs="Arial"/>
          <w:szCs w:val="22"/>
        </w:rPr>
      </w:pPr>
      <w:r w:rsidRPr="0099464C">
        <w:rPr>
          <w:rFonts w:cs="Arial"/>
          <w:szCs w:val="22"/>
        </w:rPr>
        <w:t>Mögliche berufliche Tätigkeitsfelde</w:t>
      </w:r>
      <w:r>
        <w:rPr>
          <w:rFonts w:cs="Arial"/>
          <w:szCs w:val="22"/>
        </w:rPr>
        <w:t xml:space="preserve">r der </w:t>
      </w:r>
      <w:proofErr w:type="spellStart"/>
      <w:proofErr w:type="gramStart"/>
      <w:r>
        <w:rPr>
          <w:rFonts w:cs="Arial"/>
          <w:szCs w:val="22"/>
        </w:rPr>
        <w:t>Absolvent:innen</w:t>
      </w:r>
      <w:proofErr w:type="spellEnd"/>
      <w:proofErr w:type="gramEnd"/>
      <w:r>
        <w:rPr>
          <w:rFonts w:cs="Arial"/>
          <w:szCs w:val="22"/>
        </w:rPr>
        <w:t xml:space="preserve"> sind die </w:t>
      </w:r>
      <w:r w:rsidRPr="0099464C">
        <w:rPr>
          <w:rFonts w:cs="Arial"/>
          <w:szCs w:val="22"/>
        </w:rPr>
        <w:t>Halbleiterindustrie bzw. Technologieentwicklung, die Entwicklung von (anwendungsorientierten) integrierten Schaltungen in Großunternehmen, KMU und Start-ups, z.B. in den Bereichen Kommunikation, Elektronik allgemein, Automotive, KI, Medizintechnik, Sensorik, Energietechnik, sowie die Arb</w:t>
      </w:r>
      <w:r>
        <w:rPr>
          <w:rFonts w:cs="Arial"/>
          <w:szCs w:val="22"/>
        </w:rPr>
        <w:t>eit in Forschungseinrichtungen.</w:t>
      </w:r>
    </w:p>
    <w:p w14:paraId="76D59798" w14:textId="77777777" w:rsidR="00D903F4" w:rsidRDefault="00D903F4" w:rsidP="00D903F4">
      <w:pPr>
        <w:spacing w:before="0" w:after="120"/>
        <w:rPr>
          <w:rFonts w:cs="Arial"/>
          <w:i/>
          <w:szCs w:val="22"/>
        </w:rPr>
      </w:pPr>
    </w:p>
    <w:p w14:paraId="7B259B60" w14:textId="77777777" w:rsidR="00D903F4" w:rsidRDefault="00D903F4" w:rsidP="00D903F4">
      <w:pPr>
        <w:spacing w:before="0" w:after="120"/>
        <w:rPr>
          <w:rFonts w:cs="Arial"/>
          <w:i/>
          <w:szCs w:val="22"/>
        </w:rPr>
      </w:pPr>
    </w:p>
    <w:p w14:paraId="45E563E8" w14:textId="665F3E92" w:rsidR="00D903F4" w:rsidRDefault="00267434" w:rsidP="00C86AD3">
      <w:pPr>
        <w:pStyle w:val="berschrift2"/>
        <w:numPr>
          <w:ilvl w:val="0"/>
          <w:numId w:val="0"/>
        </w:numPr>
        <w:spacing w:before="0" w:after="120"/>
        <w:ind w:left="567" w:hanging="567"/>
      </w:pPr>
      <w:bookmarkStart w:id="4" w:name="_Toc190351686"/>
      <w:r w:rsidRPr="00457100">
        <w:lastRenderedPageBreak/>
        <w:t>Zusammenfassende Qualitätsbewertung</w:t>
      </w:r>
      <w:r w:rsidR="009E70E2" w:rsidRPr="00457100">
        <w:t xml:space="preserve"> des Gutachtergremiums</w:t>
      </w:r>
      <w:bookmarkEnd w:id="4"/>
    </w:p>
    <w:p w14:paraId="004A402B" w14:textId="66561AD1" w:rsidR="00815744" w:rsidRDefault="00815744" w:rsidP="00815744">
      <w:r>
        <w:t xml:space="preserve">Das Gutachtergremium bewertet den Masterstudiengang </w:t>
      </w:r>
      <w:r w:rsidRPr="00C86AD3">
        <w:rPr>
          <w:rStyle w:val="Hervorhebung"/>
          <w:i w:val="0"/>
        </w:rPr>
        <w:t xml:space="preserve">Micro- und </w:t>
      </w:r>
      <w:proofErr w:type="spellStart"/>
      <w:r w:rsidRPr="00C86AD3">
        <w:rPr>
          <w:rStyle w:val="Hervorhebung"/>
          <w:i w:val="0"/>
        </w:rPr>
        <w:t>Nanoelectronics</w:t>
      </w:r>
      <w:proofErr w:type="spellEnd"/>
      <w:r w:rsidRPr="00C86AD3">
        <w:rPr>
          <w:i/>
        </w:rPr>
        <w:t xml:space="preserve"> </w:t>
      </w:r>
      <w:r>
        <w:t>an der BTU Cottbus-Senftenberg insgesamt sehr positiv und sieht in dem Studiengang eine sinnvolle Ergänzung des bestehenden Studienangebots der BTU.</w:t>
      </w:r>
      <w:r w:rsidRPr="0000015A">
        <w:rPr>
          <w:lang w:eastAsia="en-US"/>
        </w:rPr>
        <w:t xml:space="preserve"> </w:t>
      </w:r>
      <w:r>
        <w:rPr>
          <w:lang w:eastAsia="en-US"/>
        </w:rPr>
        <w:t xml:space="preserve">Die </w:t>
      </w:r>
      <w:proofErr w:type="spellStart"/>
      <w:proofErr w:type="gramStart"/>
      <w:r>
        <w:rPr>
          <w:lang w:eastAsia="en-US"/>
        </w:rPr>
        <w:t>Gutachter:innen</w:t>
      </w:r>
      <w:proofErr w:type="spellEnd"/>
      <w:proofErr w:type="gramEnd"/>
      <w:r>
        <w:rPr>
          <w:lang w:eastAsia="en-US"/>
        </w:rPr>
        <w:t xml:space="preserve"> sind der Ansicht, dass es sich um einen Studiengang mit äußerst aktuellen und gesellschaftsrelevanten Inhalten </w:t>
      </w:r>
      <w:r w:rsidRPr="00FE3387">
        <w:rPr>
          <w:lang w:eastAsia="en-US"/>
        </w:rPr>
        <w:t xml:space="preserve">handelt, der die künftigen </w:t>
      </w:r>
      <w:proofErr w:type="spellStart"/>
      <w:r w:rsidRPr="00FE3387">
        <w:rPr>
          <w:lang w:eastAsia="en-US"/>
        </w:rPr>
        <w:t>Absolvent</w:t>
      </w:r>
      <w:r>
        <w:rPr>
          <w:lang w:eastAsia="en-US"/>
        </w:rPr>
        <w:t>:</w:t>
      </w:r>
      <w:r w:rsidRPr="00FE3387">
        <w:rPr>
          <w:lang w:eastAsia="en-US"/>
        </w:rPr>
        <w:t>innen</w:t>
      </w:r>
      <w:proofErr w:type="spellEnd"/>
      <w:r w:rsidRPr="00FE3387">
        <w:rPr>
          <w:lang w:eastAsia="en-US"/>
        </w:rPr>
        <w:t xml:space="preserve"> mit einem sehr gefragten </w:t>
      </w:r>
      <w:r>
        <w:rPr>
          <w:lang w:eastAsia="en-US"/>
        </w:rPr>
        <w:t xml:space="preserve">Qualifikationsprofil ausstattet. </w:t>
      </w:r>
      <w:r>
        <w:t xml:space="preserve">Besonders lobenswert ist die enge Anbindung des Studiengangs an verschiedene Forschungsinstitute, die den Studierenden wertvolle praktische Einblicke und Vernetzungsmöglichkeiten bieten. Zudem begrüßen die </w:t>
      </w:r>
      <w:proofErr w:type="spellStart"/>
      <w:proofErr w:type="gramStart"/>
      <w:r>
        <w:t>Gutachter:innen</w:t>
      </w:r>
      <w:proofErr w:type="spellEnd"/>
      <w:proofErr w:type="gramEnd"/>
      <w:r>
        <w:t xml:space="preserve"> die </w:t>
      </w:r>
      <w:r w:rsidRPr="00815744">
        <w:t>vielfältigen Wahlmöglichkeiten im Curriculum sowie die als un</w:t>
      </w:r>
      <w:r>
        <w:t>terstützend und familiär empfun</w:t>
      </w:r>
      <w:r w:rsidRPr="00815744">
        <w:t>dene Atmosphäre</w:t>
      </w:r>
      <w:r>
        <w:t>, welche</w:t>
      </w:r>
      <w:r w:rsidRPr="00815744">
        <w:t xml:space="preserve"> von Studierenden verwandter Studiengänge ebenfalls geschätzt</w:t>
      </w:r>
      <w:r w:rsidR="00444F5B">
        <w:t xml:space="preserve"> wird</w:t>
      </w:r>
      <w:r w:rsidRPr="00815744">
        <w:t>.</w:t>
      </w:r>
    </w:p>
    <w:p w14:paraId="2B828FDD" w14:textId="77777777" w:rsidR="00C86AD3" w:rsidRPr="00C86AD3" w:rsidRDefault="00C86AD3" w:rsidP="00C86AD3">
      <w:r w:rsidRPr="00C86AD3">
        <w:t xml:space="preserve">Dennoch wurden einige Verbesserungspunkte identifiziert. So sollte sichergestellt werden, dass für den Fall, dass Studierende aufgrund fehlender Vorkenntnisse Auflagenmodule absolvieren müssen, diese auch in englischer Sprache angeboten werden, um die englischsprachige Ausrichtung des Studiengangs konsequent umzusetzen. Im Zusammenhang mit den Auflagenmodulen regen die </w:t>
      </w:r>
      <w:proofErr w:type="spellStart"/>
      <w:proofErr w:type="gramStart"/>
      <w:r w:rsidRPr="00C86AD3">
        <w:t>Gutachter:innen</w:t>
      </w:r>
      <w:proofErr w:type="spellEnd"/>
      <w:proofErr w:type="gramEnd"/>
      <w:r w:rsidRPr="00C86AD3">
        <w:t xml:space="preserve"> auch an zu prüfen, ob die Durchführung von Auflagenmodulen im Umfang von bis zu 18 ECTS, wie sie laut Prüfungsordnung möglich ist, zu einer Überschreitung der Regelstudienzeit führen könnte.</w:t>
      </w:r>
    </w:p>
    <w:p w14:paraId="26652807" w14:textId="0A49C51E" w:rsidR="00060A51" w:rsidRDefault="00C86AD3" w:rsidP="00C86AD3">
      <w:r w:rsidRPr="00C86AD3">
        <w:t xml:space="preserve">Des Weiteren fordern die </w:t>
      </w:r>
      <w:proofErr w:type="spellStart"/>
      <w:proofErr w:type="gramStart"/>
      <w:r w:rsidRPr="00C86AD3">
        <w:t>Gutachter:innen</w:t>
      </w:r>
      <w:proofErr w:type="spellEnd"/>
      <w:proofErr w:type="gramEnd"/>
      <w:r w:rsidRPr="00C86AD3">
        <w:t xml:space="preserve">, dass die Studierenden ihr Studium mit den vorgesehenen 120 ECTS abschließen können, da derzeit das Modul </w:t>
      </w:r>
      <w:r>
        <w:t>„</w:t>
      </w:r>
      <w:proofErr w:type="spellStart"/>
      <w:r w:rsidRPr="00C86AD3">
        <w:t>Neural</w:t>
      </w:r>
      <w:proofErr w:type="spellEnd"/>
      <w:r w:rsidRPr="00C86AD3">
        <w:t xml:space="preserve"> Networks </w:t>
      </w:r>
      <w:proofErr w:type="spellStart"/>
      <w:r w:rsidRPr="00C86AD3">
        <w:t>and</w:t>
      </w:r>
      <w:proofErr w:type="spellEnd"/>
      <w:r w:rsidRPr="00C86AD3">
        <w:t xml:space="preserve"> Learning Theory</w:t>
      </w:r>
      <w:r>
        <w:t>“</w:t>
      </w:r>
      <w:r w:rsidRPr="00C86AD3">
        <w:t xml:space="preserve"> mit 8 statt 6 Leistungspunkten zu einer Überschreitung der Gesamtleistungspunkte führt. Darüber hinaus empfiehlt die Gutachtergruppe, mehr Lehrpersonal in den Bereichen Digitaltechnik und digitale Schaltungen einzustellen und entsprechende Inhalte stärker in das Curriculum zu integrieren. Schließlich wird angeregt, die Prüfungsform des </w:t>
      </w:r>
      <w:proofErr w:type="spellStart"/>
      <w:r w:rsidRPr="00C86AD3">
        <w:t>Continuous</w:t>
      </w:r>
      <w:proofErr w:type="spellEnd"/>
      <w:r w:rsidRPr="00C86AD3">
        <w:t xml:space="preserve"> Assessment verstärkt in den praktischen Lehrveranstaltungen einzusetzen, um eine kontinuierliche Leistungsbewertung zu ermöglichen.</w:t>
      </w:r>
    </w:p>
    <w:p w14:paraId="1D385CB8" w14:textId="77777777" w:rsidR="00C86AD3" w:rsidRPr="00C86AD3" w:rsidRDefault="00C86AD3" w:rsidP="00C86AD3"/>
    <w:p w14:paraId="11BD65C5" w14:textId="77777777" w:rsidR="00FE735A" w:rsidRPr="00FE735A" w:rsidRDefault="00FE735A" w:rsidP="00FE735A">
      <w:pPr>
        <w:pStyle w:val="Bewertung"/>
        <w:rPr>
          <w:rFonts w:ascii="Arial" w:hAnsi="Arial" w:cs="Arial"/>
          <w:i/>
          <w:sz w:val="22"/>
          <w:u w:val="single"/>
        </w:rPr>
      </w:pPr>
      <w:r w:rsidRPr="00FE735A">
        <w:rPr>
          <w:rFonts w:ascii="Arial" w:hAnsi="Arial" w:cs="Arial"/>
          <w:i/>
          <w:sz w:val="22"/>
          <w:u w:val="single"/>
        </w:rPr>
        <w:t>Ergänzung im Zuge der Stellungnahme der Hochschule</w:t>
      </w:r>
    </w:p>
    <w:p w14:paraId="29F5E626" w14:textId="77777777" w:rsidR="00FE735A" w:rsidRDefault="00FE735A" w:rsidP="00FE735A">
      <w:pPr>
        <w:pStyle w:val="Bewertung"/>
        <w:rPr>
          <w:rFonts w:ascii="Arial" w:hAnsi="Arial" w:cs="Arial"/>
          <w:sz w:val="22"/>
        </w:rPr>
      </w:pPr>
      <w:r w:rsidRPr="00FE735A">
        <w:rPr>
          <w:rFonts w:ascii="Arial" w:hAnsi="Arial" w:cs="Arial"/>
          <w:sz w:val="22"/>
        </w:rPr>
        <w:t>[…]</w:t>
      </w:r>
    </w:p>
    <w:p w14:paraId="598B0064" w14:textId="77777777" w:rsidR="00FE735A" w:rsidRPr="00FE735A" w:rsidRDefault="00FE735A" w:rsidP="00FE735A">
      <w:pPr>
        <w:pStyle w:val="Bewertung"/>
        <w:rPr>
          <w:rFonts w:ascii="Arial" w:hAnsi="Arial" w:cs="Arial"/>
          <w:i/>
          <w:sz w:val="22"/>
          <w:u w:val="single"/>
        </w:rPr>
      </w:pPr>
      <w:r>
        <w:rPr>
          <w:rFonts w:ascii="Arial" w:hAnsi="Arial" w:cs="Arial"/>
          <w:i/>
          <w:sz w:val="22"/>
          <w:u w:val="single"/>
        </w:rPr>
        <w:t>Ergänzung in Zuge der Qualitätsverbesserungsschleife</w:t>
      </w:r>
    </w:p>
    <w:p w14:paraId="449AEC32" w14:textId="77777777" w:rsidR="00FE735A" w:rsidRDefault="00FE735A" w:rsidP="00FE735A">
      <w:pPr>
        <w:pStyle w:val="Bewertung"/>
        <w:rPr>
          <w:rFonts w:ascii="Arial" w:hAnsi="Arial" w:cs="Arial"/>
          <w:sz w:val="22"/>
        </w:rPr>
      </w:pPr>
      <w:r w:rsidRPr="00FE735A">
        <w:rPr>
          <w:rFonts w:ascii="Arial" w:hAnsi="Arial" w:cs="Arial"/>
          <w:sz w:val="22"/>
        </w:rPr>
        <w:t>[…]</w:t>
      </w:r>
    </w:p>
    <w:p w14:paraId="06641B46" w14:textId="77777777" w:rsidR="00877A39" w:rsidRPr="00457100" w:rsidRDefault="00877A39" w:rsidP="00457100">
      <w:pPr>
        <w:spacing w:before="0" w:after="120"/>
        <w:rPr>
          <w:rFonts w:cs="Arial"/>
          <w:szCs w:val="22"/>
        </w:rPr>
      </w:pPr>
    </w:p>
    <w:p w14:paraId="49770F7E" w14:textId="77777777" w:rsidR="005E027A" w:rsidRPr="00457100" w:rsidRDefault="00033D56" w:rsidP="001C31ED">
      <w:pPr>
        <w:pStyle w:val="berschrift1"/>
        <w:spacing w:before="0"/>
        <w:rPr>
          <w:rFonts w:cs="Arial"/>
          <w:szCs w:val="22"/>
        </w:rPr>
      </w:pPr>
      <w:r w:rsidRPr="00616657">
        <w:rPr>
          <w:rFonts w:cs="Arial"/>
          <w:sz w:val="20"/>
          <w:szCs w:val="20"/>
        </w:rPr>
        <w:br w:type="page"/>
      </w:r>
      <w:r w:rsidR="00060A51" w:rsidRPr="00457100" w:rsidDel="00060A51">
        <w:rPr>
          <w:rFonts w:cs="Arial"/>
          <w:szCs w:val="22"/>
        </w:rPr>
        <w:lastRenderedPageBreak/>
        <w:t xml:space="preserve"> </w:t>
      </w:r>
      <w:bookmarkStart w:id="5" w:name="_Toc190351687"/>
      <w:r w:rsidR="000F574D" w:rsidRPr="00457100">
        <w:rPr>
          <w:rFonts w:cs="Arial"/>
          <w:szCs w:val="22"/>
        </w:rPr>
        <w:t>Prüfbericht</w:t>
      </w:r>
      <w:r w:rsidR="00ED0000" w:rsidRPr="00457100">
        <w:rPr>
          <w:rFonts w:cs="Arial"/>
          <w:szCs w:val="22"/>
        </w:rPr>
        <w:t xml:space="preserve">: </w:t>
      </w:r>
      <w:r w:rsidR="000F574D" w:rsidRPr="00457100">
        <w:rPr>
          <w:rFonts w:cs="Arial"/>
          <w:szCs w:val="22"/>
        </w:rPr>
        <w:t>E</w:t>
      </w:r>
      <w:r w:rsidR="004761C4" w:rsidRPr="00457100">
        <w:rPr>
          <w:rFonts w:cs="Arial"/>
          <w:szCs w:val="22"/>
        </w:rPr>
        <w:t>rfüllung</w:t>
      </w:r>
      <w:r w:rsidR="000F574D" w:rsidRPr="00457100">
        <w:rPr>
          <w:rFonts w:cs="Arial"/>
          <w:szCs w:val="22"/>
        </w:rPr>
        <w:t xml:space="preserve"> der formalen Kriterien</w:t>
      </w:r>
      <w:bookmarkEnd w:id="5"/>
    </w:p>
    <w:p w14:paraId="779A1E0D" w14:textId="77777777" w:rsidR="0044491E" w:rsidRPr="00D057A6" w:rsidRDefault="002E14A1" w:rsidP="001C31ED">
      <w:pPr>
        <w:spacing w:before="0"/>
        <w:ind w:firstLine="431"/>
        <w:rPr>
          <w:rFonts w:cs="Arial"/>
          <w:i/>
          <w:sz w:val="18"/>
          <w:szCs w:val="18"/>
        </w:rPr>
      </w:pPr>
      <w:r w:rsidRPr="00D057A6">
        <w:rPr>
          <w:rFonts w:cs="Arial"/>
          <w:i/>
          <w:sz w:val="18"/>
          <w:szCs w:val="18"/>
        </w:rPr>
        <w:t>(</w:t>
      </w:r>
      <w:r w:rsidR="000F574D" w:rsidRPr="00D057A6">
        <w:rPr>
          <w:rFonts w:cs="Arial"/>
          <w:i/>
          <w:sz w:val="18"/>
          <w:szCs w:val="18"/>
        </w:rPr>
        <w:t xml:space="preserve">gemäß Art. 2 Abs. 2 </w:t>
      </w:r>
      <w:bookmarkStart w:id="6" w:name="_Hlk10462011"/>
      <w:proofErr w:type="spellStart"/>
      <w:r w:rsidR="009D6FED" w:rsidRPr="009D6FED">
        <w:rPr>
          <w:rFonts w:cs="Arial"/>
          <w:i/>
          <w:sz w:val="18"/>
          <w:szCs w:val="18"/>
        </w:rPr>
        <w:t>StAkkrStV</w:t>
      </w:r>
      <w:bookmarkEnd w:id="6"/>
      <w:proofErr w:type="spellEnd"/>
      <w:r w:rsidR="000F574D" w:rsidRPr="00D057A6">
        <w:rPr>
          <w:rFonts w:cs="Arial"/>
          <w:i/>
          <w:sz w:val="18"/>
          <w:szCs w:val="18"/>
        </w:rPr>
        <w:t xml:space="preserve"> und §§ 3 bis 8 und § 24 Abs. 3 </w:t>
      </w:r>
      <w:proofErr w:type="spellStart"/>
      <w:r w:rsidR="00BD500A">
        <w:rPr>
          <w:rFonts w:cs="Arial"/>
          <w:i/>
          <w:sz w:val="18"/>
          <w:szCs w:val="18"/>
        </w:rPr>
        <w:t>StudAkkV</w:t>
      </w:r>
      <w:proofErr w:type="spellEnd"/>
      <w:r w:rsidR="005E027A" w:rsidRPr="00D057A6">
        <w:rPr>
          <w:rFonts w:cs="Arial"/>
          <w:i/>
          <w:sz w:val="18"/>
          <w:szCs w:val="18"/>
        </w:rPr>
        <w:t>)</w:t>
      </w:r>
    </w:p>
    <w:p w14:paraId="6E7FCB49" w14:textId="77777777" w:rsidR="001C31ED" w:rsidRDefault="001C31ED" w:rsidP="001C31ED">
      <w:pPr>
        <w:spacing w:before="0"/>
      </w:pPr>
      <w:bookmarkStart w:id="7" w:name="_Studienstruktur_und_Studiendauer"/>
      <w:bookmarkEnd w:id="7"/>
    </w:p>
    <w:p w14:paraId="37A6A562" w14:textId="77777777" w:rsidR="005E3F70" w:rsidRPr="005E3F70" w:rsidRDefault="000F574D" w:rsidP="002813E0">
      <w:pPr>
        <w:pStyle w:val="berschrift2"/>
        <w:numPr>
          <w:ilvl w:val="0"/>
          <w:numId w:val="0"/>
        </w:numPr>
        <w:spacing w:before="0"/>
      </w:pPr>
      <w:bookmarkStart w:id="8" w:name="_Studienstruktur_und_Studiendauer_1"/>
      <w:bookmarkStart w:id="9" w:name="_Toc190351688"/>
      <w:bookmarkEnd w:id="8"/>
      <w:r w:rsidRPr="00457100">
        <w:t>Studienstruktur</w:t>
      </w:r>
      <w:r w:rsidR="00E979D9" w:rsidRPr="00457100">
        <w:t xml:space="preserve"> und Studiendauer</w:t>
      </w:r>
      <w:r w:rsidR="00BE6DD4" w:rsidRPr="00457100">
        <w:t xml:space="preserve"> </w:t>
      </w:r>
      <w:r w:rsidR="00BE6DD4" w:rsidRPr="005E3F70">
        <w:t xml:space="preserve">(§ 3 </w:t>
      </w:r>
      <w:proofErr w:type="spellStart"/>
      <w:r w:rsidR="00BD500A">
        <w:t>StudAkkV</w:t>
      </w:r>
      <w:proofErr w:type="spellEnd"/>
      <w:r w:rsidR="00BE6DD4" w:rsidRPr="005E3F70">
        <w:t>)</w:t>
      </w:r>
      <w:bookmarkEnd w:id="9"/>
    </w:p>
    <w:p w14:paraId="0F236FCE" w14:textId="77777777" w:rsidR="00D057A6" w:rsidRDefault="003336AB" w:rsidP="001C31ED">
      <w:pPr>
        <w:spacing w:before="0"/>
        <w:rPr>
          <w:rFonts w:cs="Arial"/>
          <w:b/>
          <w:color w:val="A71930"/>
          <w:szCs w:val="22"/>
        </w:rPr>
      </w:pPr>
      <w:r>
        <w:rPr>
          <w:rFonts w:cs="Arial"/>
          <w:b/>
          <w:color w:val="A71930"/>
          <w:szCs w:val="22"/>
        </w:rPr>
        <w:t>Sachstand</w:t>
      </w:r>
      <w:r w:rsidR="000F574D" w:rsidRPr="00457100">
        <w:rPr>
          <w:rFonts w:cs="Arial"/>
          <w:b/>
          <w:color w:val="A71930"/>
          <w:szCs w:val="22"/>
        </w:rPr>
        <w:t>/Bewertung</w:t>
      </w:r>
    </w:p>
    <w:p w14:paraId="46061DC5" w14:textId="775ED769" w:rsidR="002D6DA2" w:rsidRPr="007B58D9" w:rsidRDefault="002A1E7F" w:rsidP="002A1E7F">
      <w:r>
        <w:t xml:space="preserve">Der konsekutive Masterstudiengang </w:t>
      </w:r>
      <w:r w:rsidRPr="00426673">
        <w:t xml:space="preserve">umfasst </w:t>
      </w:r>
      <w:r>
        <w:t xml:space="preserve">120 ECTS Punkte. In der Vollzeitvariante beträgt die </w:t>
      </w:r>
      <w:r w:rsidRPr="00426673">
        <w:t>Rege</w:t>
      </w:r>
      <w:r>
        <w:t xml:space="preserve">lstudienzeit vier Semester. Gemäß der </w:t>
      </w:r>
      <w:proofErr w:type="spellStart"/>
      <w:r w:rsidR="002D6DA2" w:rsidRPr="003E0B48">
        <w:t>studiengangsspezifischen</w:t>
      </w:r>
      <w:proofErr w:type="spellEnd"/>
      <w:r w:rsidR="002D6DA2" w:rsidRPr="003E0B48">
        <w:t xml:space="preserve"> Studien- und Prüfungsordnung </w:t>
      </w:r>
      <w:r w:rsidR="002813E0">
        <w:t xml:space="preserve">kann der </w:t>
      </w:r>
      <w:r>
        <w:t xml:space="preserve">Studiengang </w:t>
      </w:r>
      <w:r w:rsidR="002813E0">
        <w:t xml:space="preserve">auf Antrag </w:t>
      </w:r>
      <w:r>
        <w:t>auch in Teilzeit studiert werden.</w:t>
      </w:r>
      <w:r w:rsidR="002D6DA2" w:rsidRPr="002D6DA2">
        <w:t xml:space="preserve"> </w:t>
      </w:r>
      <w:r w:rsidR="002D6DA2" w:rsidRPr="003E0B48">
        <w:t>Für alle weiteren Regelungen zum Teilzeitstudium wird auf die allgemeine Rahmenordnung der BTU verwiesen. Hier ist festgelegt, dass im Teilzeitstudium maximal 30 Leistungspunkte pro Studienjahr erworben werden können. Daraus ergibt sich eine Regelstudienzeit von acht Semestern.</w:t>
      </w:r>
      <w:r w:rsidR="002813E0">
        <w:t xml:space="preserve"> </w:t>
      </w:r>
      <w:r>
        <w:t>Der Studienbeginn ist nur zum Wintersemester möglich.</w:t>
      </w:r>
    </w:p>
    <w:p w14:paraId="4E55601F" w14:textId="77777777" w:rsidR="00FE735A" w:rsidRPr="00FE735A" w:rsidRDefault="00FE735A" w:rsidP="00FE735A">
      <w:pPr>
        <w:pStyle w:val="Bewertung"/>
        <w:rPr>
          <w:rFonts w:ascii="Arial" w:hAnsi="Arial" w:cs="Arial"/>
          <w:i/>
          <w:sz w:val="22"/>
          <w:u w:val="single"/>
        </w:rPr>
      </w:pPr>
      <w:r w:rsidRPr="00FE735A">
        <w:rPr>
          <w:rFonts w:ascii="Arial" w:hAnsi="Arial" w:cs="Arial"/>
          <w:i/>
          <w:sz w:val="22"/>
          <w:u w:val="single"/>
        </w:rPr>
        <w:t>Ergänzung im Zuge der Stellungnahme der Hochschule</w:t>
      </w:r>
    </w:p>
    <w:p w14:paraId="3C556B04" w14:textId="77777777" w:rsidR="00FE735A" w:rsidRDefault="00FE735A" w:rsidP="00FE735A">
      <w:pPr>
        <w:pStyle w:val="Bewertung"/>
        <w:rPr>
          <w:rFonts w:ascii="Arial" w:hAnsi="Arial" w:cs="Arial"/>
          <w:sz w:val="22"/>
        </w:rPr>
      </w:pPr>
      <w:r w:rsidRPr="00FE735A">
        <w:rPr>
          <w:rFonts w:ascii="Arial" w:hAnsi="Arial" w:cs="Arial"/>
          <w:sz w:val="22"/>
        </w:rPr>
        <w:t>[…]</w:t>
      </w:r>
    </w:p>
    <w:p w14:paraId="33F7458E" w14:textId="77777777" w:rsidR="00FE735A" w:rsidRPr="00FE735A" w:rsidRDefault="00FE735A" w:rsidP="00FE735A">
      <w:pPr>
        <w:pStyle w:val="Bewertung"/>
        <w:rPr>
          <w:rFonts w:ascii="Arial" w:hAnsi="Arial" w:cs="Arial"/>
          <w:i/>
          <w:sz w:val="22"/>
          <w:u w:val="single"/>
        </w:rPr>
      </w:pPr>
      <w:r>
        <w:rPr>
          <w:rFonts w:ascii="Arial" w:hAnsi="Arial" w:cs="Arial"/>
          <w:i/>
          <w:sz w:val="22"/>
          <w:u w:val="single"/>
        </w:rPr>
        <w:t>Ergänzung in Zuge der Qualitätsverbesserungsschleife</w:t>
      </w:r>
    </w:p>
    <w:p w14:paraId="30342EE8" w14:textId="77777777" w:rsidR="00FE735A" w:rsidRDefault="00FE735A" w:rsidP="00FE735A">
      <w:pPr>
        <w:pStyle w:val="Bewertung"/>
        <w:rPr>
          <w:rFonts w:ascii="Arial" w:hAnsi="Arial" w:cs="Arial"/>
          <w:sz w:val="22"/>
        </w:rPr>
      </w:pPr>
      <w:r w:rsidRPr="00FE735A">
        <w:rPr>
          <w:rFonts w:ascii="Arial" w:hAnsi="Arial" w:cs="Arial"/>
          <w:sz w:val="22"/>
        </w:rPr>
        <w:t>[…]</w:t>
      </w:r>
    </w:p>
    <w:p w14:paraId="5CF83759" w14:textId="77777777" w:rsidR="003C6149" w:rsidRPr="00457100" w:rsidRDefault="003C6149" w:rsidP="001C31ED">
      <w:pPr>
        <w:spacing w:before="0"/>
        <w:rPr>
          <w:rFonts w:cs="Arial"/>
          <w:color w:val="A71930"/>
          <w:szCs w:val="22"/>
        </w:rPr>
      </w:pPr>
      <w:r w:rsidRPr="00457100">
        <w:rPr>
          <w:rFonts w:cs="Arial"/>
          <w:b/>
          <w:color w:val="A71930"/>
          <w:szCs w:val="22"/>
        </w:rPr>
        <w:t>Entscheidungsvorschlag</w:t>
      </w:r>
    </w:p>
    <w:p w14:paraId="39702C98" w14:textId="77777777" w:rsidR="00D057A6" w:rsidRPr="00D057A6" w:rsidRDefault="002813E0" w:rsidP="002813E0">
      <w:pPr>
        <w:spacing w:before="0"/>
        <w:rPr>
          <w:rFonts w:cs="Arial"/>
          <w:i/>
          <w:szCs w:val="22"/>
        </w:rPr>
      </w:pPr>
      <w:r>
        <w:rPr>
          <w:rFonts w:cs="Arial"/>
          <w:szCs w:val="22"/>
        </w:rPr>
        <w:t>Kriterium ist erfüllt.</w:t>
      </w:r>
    </w:p>
    <w:p w14:paraId="1F6BA634" w14:textId="77777777" w:rsidR="000F574D" w:rsidRPr="00457100" w:rsidRDefault="000F574D" w:rsidP="001C31ED">
      <w:pPr>
        <w:spacing w:before="0"/>
        <w:rPr>
          <w:rFonts w:cs="Arial"/>
          <w:szCs w:val="22"/>
        </w:rPr>
      </w:pPr>
    </w:p>
    <w:p w14:paraId="7FD3CA57" w14:textId="77777777" w:rsidR="00030E04" w:rsidRPr="00030E04" w:rsidRDefault="000F574D" w:rsidP="002813E0">
      <w:pPr>
        <w:pStyle w:val="berschrift2"/>
        <w:numPr>
          <w:ilvl w:val="0"/>
          <w:numId w:val="0"/>
        </w:numPr>
        <w:spacing w:before="0"/>
        <w:ind w:left="567" w:hanging="567"/>
      </w:pPr>
      <w:bookmarkStart w:id="10" w:name="_Studiengangsprofil_(§_4"/>
      <w:bookmarkStart w:id="11" w:name="_Toc190351689"/>
      <w:bookmarkEnd w:id="10"/>
      <w:proofErr w:type="spellStart"/>
      <w:r w:rsidRPr="00457100">
        <w:t>Studiengangsprofil</w:t>
      </w:r>
      <w:r w:rsidR="00AD335B">
        <w:t>e</w:t>
      </w:r>
      <w:proofErr w:type="spellEnd"/>
      <w:r w:rsidR="005365C5" w:rsidRPr="00457100">
        <w:t xml:space="preserve"> </w:t>
      </w:r>
      <w:r w:rsidR="005365C5" w:rsidRPr="00030E04">
        <w:t xml:space="preserve">(§ 4 </w:t>
      </w:r>
      <w:proofErr w:type="spellStart"/>
      <w:r w:rsidR="00BD500A">
        <w:t>StudAkkV</w:t>
      </w:r>
      <w:proofErr w:type="spellEnd"/>
      <w:r w:rsidR="005365C5" w:rsidRPr="00030E04">
        <w:t>)</w:t>
      </w:r>
      <w:bookmarkEnd w:id="11"/>
    </w:p>
    <w:p w14:paraId="7B06674F" w14:textId="77777777" w:rsidR="00620071" w:rsidRDefault="003336AB" w:rsidP="001C31ED">
      <w:pPr>
        <w:spacing w:before="0"/>
        <w:rPr>
          <w:rFonts w:cs="Arial"/>
          <w:b/>
          <w:color w:val="A71930"/>
          <w:szCs w:val="22"/>
        </w:rPr>
      </w:pPr>
      <w:r>
        <w:rPr>
          <w:rFonts w:cs="Arial"/>
          <w:b/>
          <w:color w:val="A71930"/>
          <w:szCs w:val="22"/>
        </w:rPr>
        <w:t>Sachstand</w:t>
      </w:r>
      <w:r w:rsidR="00620071" w:rsidRPr="00457100">
        <w:rPr>
          <w:rFonts w:cs="Arial"/>
          <w:b/>
          <w:color w:val="A71930"/>
          <w:szCs w:val="22"/>
        </w:rPr>
        <w:t>/Bewertung</w:t>
      </w:r>
    </w:p>
    <w:p w14:paraId="3FB63DB5" w14:textId="18459DA0" w:rsidR="002813E0" w:rsidRPr="007B58D9" w:rsidRDefault="002D6DA2" w:rsidP="002813E0">
      <w:r w:rsidRPr="002D6DA2">
        <w:t xml:space="preserve">Der Masterstudiengang ist konsekutiv und forschungsorientiert ausgelegt. Darüber hinaus wird der Masterstudiengang als internationaler Studiengang ausgewiesen. </w:t>
      </w:r>
      <w:r w:rsidR="002813E0">
        <w:t>Der Studiengang schließt</w:t>
      </w:r>
      <w:r w:rsidR="002813E0" w:rsidRPr="00426673">
        <w:t xml:space="preserve"> mit einer Abschlussarbei</w:t>
      </w:r>
      <w:r w:rsidR="002813E0">
        <w:t xml:space="preserve">t ab, welche 30 ECTS-Punkte (inklusive Kolloquium) umfasst. Mit der Masterarbeit weisen die Studierenden </w:t>
      </w:r>
      <w:r w:rsidR="002813E0" w:rsidRPr="003D3AE1">
        <w:t xml:space="preserve">die Fähigkeit </w:t>
      </w:r>
      <w:r w:rsidR="002813E0">
        <w:t>nach</w:t>
      </w:r>
      <w:r w:rsidR="002813E0" w:rsidRPr="003D3AE1">
        <w:t>, innerhalb einer vorgegebenen Frist ein Problem aus dem jeweiligen Fach selbständig nach wissenschaftlichen</w:t>
      </w:r>
      <w:r w:rsidR="002813E0">
        <w:t xml:space="preserve"> Methoden zu bearbeiten</w:t>
      </w:r>
      <w:r w:rsidR="002813E0" w:rsidRPr="003D3AE1">
        <w:t>.</w:t>
      </w:r>
    </w:p>
    <w:p w14:paraId="4D6A13E8" w14:textId="77777777" w:rsidR="00FE735A" w:rsidRPr="00FE735A" w:rsidRDefault="00FE735A" w:rsidP="00FE735A">
      <w:pPr>
        <w:pStyle w:val="Bewertung"/>
        <w:rPr>
          <w:rFonts w:ascii="Arial" w:hAnsi="Arial" w:cs="Arial"/>
          <w:i/>
          <w:sz w:val="22"/>
          <w:u w:val="single"/>
        </w:rPr>
      </w:pPr>
      <w:r w:rsidRPr="00FE735A">
        <w:rPr>
          <w:rFonts w:ascii="Arial" w:hAnsi="Arial" w:cs="Arial"/>
          <w:i/>
          <w:sz w:val="22"/>
          <w:u w:val="single"/>
        </w:rPr>
        <w:t>Ergänzung im Zuge der Stellungnahme der Hochschule</w:t>
      </w:r>
    </w:p>
    <w:p w14:paraId="798A8C3C" w14:textId="77777777" w:rsidR="00FE735A" w:rsidRDefault="00FE735A" w:rsidP="00FE735A">
      <w:pPr>
        <w:pStyle w:val="Bewertung"/>
        <w:rPr>
          <w:rFonts w:ascii="Arial" w:hAnsi="Arial" w:cs="Arial"/>
          <w:sz w:val="22"/>
        </w:rPr>
      </w:pPr>
      <w:r w:rsidRPr="00FE735A">
        <w:rPr>
          <w:rFonts w:ascii="Arial" w:hAnsi="Arial" w:cs="Arial"/>
          <w:sz w:val="22"/>
        </w:rPr>
        <w:t>[…]</w:t>
      </w:r>
    </w:p>
    <w:p w14:paraId="5332DBA6" w14:textId="77777777" w:rsidR="00FE735A" w:rsidRPr="00FE735A" w:rsidRDefault="00FE735A" w:rsidP="00FE735A">
      <w:pPr>
        <w:pStyle w:val="Bewertung"/>
        <w:rPr>
          <w:rFonts w:ascii="Arial" w:hAnsi="Arial" w:cs="Arial"/>
          <w:i/>
          <w:sz w:val="22"/>
          <w:u w:val="single"/>
        </w:rPr>
      </w:pPr>
      <w:r>
        <w:rPr>
          <w:rFonts w:ascii="Arial" w:hAnsi="Arial" w:cs="Arial"/>
          <w:i/>
          <w:sz w:val="22"/>
          <w:u w:val="single"/>
        </w:rPr>
        <w:t>Ergänzung in Zuge der Qualitätsverbesserungsschleife</w:t>
      </w:r>
    </w:p>
    <w:p w14:paraId="612140E6" w14:textId="77777777" w:rsidR="00FE735A" w:rsidRDefault="00FE735A" w:rsidP="00FE735A">
      <w:pPr>
        <w:pStyle w:val="Bewertung"/>
        <w:rPr>
          <w:rFonts w:ascii="Arial" w:hAnsi="Arial" w:cs="Arial"/>
          <w:sz w:val="22"/>
        </w:rPr>
      </w:pPr>
      <w:r w:rsidRPr="00FE735A">
        <w:rPr>
          <w:rFonts w:ascii="Arial" w:hAnsi="Arial" w:cs="Arial"/>
          <w:sz w:val="22"/>
        </w:rPr>
        <w:t>[…]</w:t>
      </w:r>
    </w:p>
    <w:p w14:paraId="53C3B057" w14:textId="77777777" w:rsidR="003C6149" w:rsidRPr="00457100" w:rsidRDefault="003C6149" w:rsidP="001C31ED">
      <w:pPr>
        <w:spacing w:before="0"/>
        <w:rPr>
          <w:rFonts w:cs="Arial"/>
          <w:color w:val="A71930"/>
          <w:szCs w:val="22"/>
        </w:rPr>
      </w:pPr>
      <w:r w:rsidRPr="00457100">
        <w:rPr>
          <w:rFonts w:cs="Arial"/>
          <w:b/>
          <w:color w:val="A71930"/>
          <w:szCs w:val="22"/>
        </w:rPr>
        <w:t>Entscheidungsvorschlag</w:t>
      </w:r>
    </w:p>
    <w:p w14:paraId="1550CBF4" w14:textId="77777777" w:rsidR="00D057A6" w:rsidRPr="00D057A6" w:rsidRDefault="00620071" w:rsidP="002813E0">
      <w:pPr>
        <w:spacing w:before="0"/>
        <w:rPr>
          <w:rFonts w:cs="Arial"/>
          <w:i/>
          <w:szCs w:val="22"/>
        </w:rPr>
      </w:pPr>
      <w:r w:rsidRPr="00D057A6">
        <w:rPr>
          <w:rFonts w:cs="Arial"/>
          <w:szCs w:val="22"/>
        </w:rPr>
        <w:t>Kriterium ist erfüllt</w:t>
      </w:r>
      <w:r w:rsidR="002813E0">
        <w:rPr>
          <w:rFonts w:cs="Arial"/>
          <w:szCs w:val="22"/>
        </w:rPr>
        <w:t>.</w:t>
      </w:r>
    </w:p>
    <w:p w14:paraId="57AD1B04" w14:textId="77777777" w:rsidR="000F574D" w:rsidRPr="00457100" w:rsidRDefault="000F574D" w:rsidP="001C31ED">
      <w:pPr>
        <w:spacing w:before="0"/>
        <w:rPr>
          <w:rFonts w:cs="Arial"/>
          <w:szCs w:val="22"/>
          <w:lang w:eastAsia="en-US"/>
        </w:rPr>
      </w:pPr>
    </w:p>
    <w:p w14:paraId="26F25E51" w14:textId="77777777" w:rsidR="00030E04" w:rsidRPr="002C6938" w:rsidRDefault="000F574D" w:rsidP="002C6938">
      <w:pPr>
        <w:pStyle w:val="berschrift2"/>
        <w:numPr>
          <w:ilvl w:val="0"/>
          <w:numId w:val="0"/>
        </w:numPr>
        <w:tabs>
          <w:tab w:val="clear" w:pos="567"/>
          <w:tab w:val="left" w:pos="0"/>
        </w:tabs>
        <w:spacing w:before="0"/>
        <w:rPr>
          <w:b w:val="0"/>
          <w:bCs w:val="0"/>
        </w:rPr>
      </w:pPr>
      <w:bookmarkStart w:id="12" w:name="_Zugangsvoraussetzungen_und_Übergäng"/>
      <w:bookmarkStart w:id="13" w:name="_Toc190351690"/>
      <w:bookmarkEnd w:id="12"/>
      <w:r w:rsidRPr="00457100">
        <w:t>Zugangsvoraussetzungen</w:t>
      </w:r>
      <w:r w:rsidR="004F3EBA" w:rsidRPr="00457100">
        <w:t xml:space="preserve"> und Übergänge zwischen Studienangeboten</w:t>
      </w:r>
      <w:r w:rsidR="00581E6B" w:rsidRPr="00457100">
        <w:t xml:space="preserve"> </w:t>
      </w:r>
      <w:r w:rsidR="00581E6B" w:rsidRPr="00030E04">
        <w:t xml:space="preserve">(§ 5 </w:t>
      </w:r>
      <w:proofErr w:type="spellStart"/>
      <w:r w:rsidR="00BD500A">
        <w:t>StudAkkV</w:t>
      </w:r>
      <w:proofErr w:type="spellEnd"/>
      <w:r w:rsidR="00581E6B" w:rsidRPr="00030E04">
        <w:t>)</w:t>
      </w:r>
      <w:bookmarkEnd w:id="13"/>
    </w:p>
    <w:p w14:paraId="3B19188D" w14:textId="77777777" w:rsidR="00D057A6" w:rsidRDefault="003336AB" w:rsidP="001C31ED">
      <w:pPr>
        <w:spacing w:before="0"/>
        <w:rPr>
          <w:rFonts w:cs="Arial"/>
          <w:b/>
          <w:color w:val="A71930"/>
          <w:szCs w:val="22"/>
        </w:rPr>
      </w:pPr>
      <w:r>
        <w:rPr>
          <w:rFonts w:cs="Arial"/>
          <w:b/>
          <w:color w:val="A71930"/>
          <w:szCs w:val="22"/>
        </w:rPr>
        <w:t>Sachstand</w:t>
      </w:r>
      <w:r w:rsidR="004F3EBA" w:rsidRPr="00457100">
        <w:rPr>
          <w:rFonts w:cs="Arial"/>
          <w:b/>
          <w:color w:val="A71930"/>
          <w:szCs w:val="22"/>
        </w:rPr>
        <w:t>/Bewertung</w:t>
      </w:r>
    </w:p>
    <w:p w14:paraId="4CCFABDE" w14:textId="77777777" w:rsidR="00490D81" w:rsidRDefault="002813E0" w:rsidP="002813E0">
      <w:pPr>
        <w:spacing w:before="0" w:after="120"/>
        <w:rPr>
          <w:rFonts w:cs="Arial"/>
          <w:szCs w:val="22"/>
        </w:rPr>
      </w:pPr>
      <w:r w:rsidRPr="002813E0">
        <w:rPr>
          <w:rFonts w:cs="Arial"/>
          <w:szCs w:val="22"/>
        </w:rPr>
        <w:lastRenderedPageBreak/>
        <w:t xml:space="preserve">Die Zugangsvoraussetzungen für den </w:t>
      </w:r>
      <w:r w:rsidR="00490D81">
        <w:rPr>
          <w:rFonts w:cs="Arial"/>
          <w:szCs w:val="22"/>
        </w:rPr>
        <w:t>Masters</w:t>
      </w:r>
      <w:r w:rsidRPr="002813E0">
        <w:rPr>
          <w:rFonts w:cs="Arial"/>
          <w:szCs w:val="22"/>
        </w:rPr>
        <w:t xml:space="preserve">tudiengang </w:t>
      </w:r>
      <w:r w:rsidR="00490D81">
        <w:rPr>
          <w:rFonts w:cs="Arial"/>
          <w:szCs w:val="22"/>
        </w:rPr>
        <w:t>sind in der studiengangspezifischen Prüfungsordnung</w:t>
      </w:r>
      <w:r w:rsidRPr="002813E0">
        <w:rPr>
          <w:rFonts w:cs="Arial"/>
          <w:szCs w:val="22"/>
        </w:rPr>
        <w:t xml:space="preserve"> beschrieben.</w:t>
      </w:r>
      <w:r w:rsidR="00490D81">
        <w:t xml:space="preserve"> Diese besagt, dass zur Zulassung der/die </w:t>
      </w:r>
      <w:proofErr w:type="spellStart"/>
      <w:r w:rsidR="00490D81">
        <w:t>Bewerber:in</w:t>
      </w:r>
      <w:proofErr w:type="spellEnd"/>
      <w:r w:rsidR="00490D81">
        <w:t xml:space="preserve"> einen </w:t>
      </w:r>
      <w:r w:rsidR="00490D81">
        <w:rPr>
          <w:rFonts w:cs="Arial"/>
          <w:szCs w:val="22"/>
        </w:rPr>
        <w:t>ersten berufsqualifizierenden Abschluss</w:t>
      </w:r>
      <w:r w:rsidRPr="002813E0">
        <w:rPr>
          <w:rFonts w:cs="Arial"/>
          <w:szCs w:val="22"/>
        </w:rPr>
        <w:t xml:space="preserve"> in einem fac</w:t>
      </w:r>
      <w:r w:rsidR="00490D81">
        <w:rPr>
          <w:rFonts w:cs="Arial"/>
          <w:szCs w:val="22"/>
        </w:rPr>
        <w:t>hlich nahen Studiengang vorweisen muss</w:t>
      </w:r>
      <w:r w:rsidRPr="002813E0">
        <w:rPr>
          <w:rFonts w:cs="Arial"/>
          <w:szCs w:val="22"/>
        </w:rPr>
        <w:t xml:space="preserve">. </w:t>
      </w:r>
      <w:r w:rsidR="00490D81">
        <w:rPr>
          <w:rFonts w:cs="Arial"/>
          <w:szCs w:val="22"/>
        </w:rPr>
        <w:t>„</w:t>
      </w:r>
      <w:r w:rsidRPr="002813E0">
        <w:rPr>
          <w:rFonts w:cs="Arial"/>
          <w:szCs w:val="22"/>
        </w:rPr>
        <w:t xml:space="preserve">Ausreichende inhaltliche Nähe </w:t>
      </w:r>
      <w:r w:rsidR="00490D81">
        <w:rPr>
          <w:rFonts w:cs="Arial"/>
          <w:szCs w:val="22"/>
        </w:rPr>
        <w:t>des Abschlusses liegt vor, wenn</w:t>
      </w:r>
    </w:p>
    <w:p w14:paraId="56014AE6" w14:textId="77777777" w:rsidR="00490D81" w:rsidRDefault="002813E0" w:rsidP="0044081B">
      <w:pPr>
        <w:pStyle w:val="Listenabsatz"/>
        <w:numPr>
          <w:ilvl w:val="0"/>
          <w:numId w:val="5"/>
        </w:numPr>
        <w:spacing w:before="0" w:after="120"/>
        <w:rPr>
          <w:rFonts w:cs="Arial"/>
        </w:rPr>
      </w:pPr>
      <w:r w:rsidRPr="00490D81">
        <w:rPr>
          <w:rFonts w:cs="Arial"/>
        </w:rPr>
        <w:t>die Studieninhalte in Mathematik, in Theoretischer Physik und in Experimentalphysik einen dem Bachelor-Studiengang Physik an der BTU vergleichbaren Umfang aufweisen,</w:t>
      </w:r>
    </w:p>
    <w:p w14:paraId="0AA33EF0" w14:textId="77777777" w:rsidR="002813E0" w:rsidRDefault="002813E0" w:rsidP="0044081B">
      <w:pPr>
        <w:pStyle w:val="Listenabsatz"/>
        <w:numPr>
          <w:ilvl w:val="0"/>
          <w:numId w:val="5"/>
        </w:numPr>
        <w:spacing w:before="0" w:after="120"/>
        <w:rPr>
          <w:rFonts w:cs="Arial"/>
        </w:rPr>
      </w:pPr>
      <w:r w:rsidRPr="00490D81">
        <w:rPr>
          <w:rFonts w:cs="Arial"/>
          <w:i/>
        </w:rPr>
        <w:t>oder</w:t>
      </w:r>
      <w:r w:rsidRPr="00490D81">
        <w:rPr>
          <w:rFonts w:cs="Arial"/>
        </w:rPr>
        <w:t xml:space="preserve"> die Studieninhalte in Physik, in Mathematik, in Elektronik und in System- und Feldtheorie einen dem Bachelor-Studiengang Elektrotechnik mit Schwerpunkt in der Informationstechnik bzw. Elektronik an der BTU vergleichbaren Umfang aufweisen.</w:t>
      </w:r>
      <w:r w:rsidR="00490D81">
        <w:rPr>
          <w:rFonts w:cs="Arial"/>
        </w:rPr>
        <w:t>“</w:t>
      </w:r>
    </w:p>
    <w:p w14:paraId="33B22773" w14:textId="77777777" w:rsidR="002813E0" w:rsidRDefault="002813E0" w:rsidP="002813E0">
      <w:pPr>
        <w:spacing w:before="0" w:after="120"/>
        <w:rPr>
          <w:rFonts w:cs="Arial"/>
          <w:szCs w:val="22"/>
        </w:rPr>
      </w:pPr>
      <w:r w:rsidRPr="002813E0">
        <w:rPr>
          <w:rFonts w:cs="Arial"/>
          <w:szCs w:val="22"/>
        </w:rPr>
        <w:t xml:space="preserve">Die Zulassung kann mit der Auflage verbunden werden, bestimmte Module aus den Bachelorstudiengängen Physik und Elektrotechnik in einem Umfang von maximal </w:t>
      </w:r>
      <w:r w:rsidR="00490D81">
        <w:rPr>
          <w:rFonts w:cs="Arial"/>
          <w:szCs w:val="22"/>
        </w:rPr>
        <w:t>18 Leistungspunkten nachzuholen</w:t>
      </w:r>
      <w:r w:rsidRPr="002813E0">
        <w:rPr>
          <w:rFonts w:cs="Arial"/>
          <w:szCs w:val="22"/>
        </w:rPr>
        <w:t>. Diese werden da</w:t>
      </w:r>
      <w:r w:rsidR="00490D81">
        <w:rPr>
          <w:rFonts w:cs="Arial"/>
          <w:szCs w:val="22"/>
        </w:rPr>
        <w:t>nn jedoch nicht auf das Masters</w:t>
      </w:r>
      <w:r w:rsidRPr="002813E0">
        <w:rPr>
          <w:rFonts w:cs="Arial"/>
          <w:szCs w:val="22"/>
        </w:rPr>
        <w:t>tudium angerechnet.</w:t>
      </w:r>
    </w:p>
    <w:p w14:paraId="54A02B56" w14:textId="77777777" w:rsidR="002813E0" w:rsidRPr="00457100" w:rsidRDefault="002C6938" w:rsidP="00490D81">
      <w:pPr>
        <w:spacing w:before="0" w:after="120"/>
        <w:rPr>
          <w:rFonts w:cs="Arial"/>
          <w:szCs w:val="22"/>
        </w:rPr>
      </w:pPr>
      <w:r w:rsidRPr="002C6938">
        <w:rPr>
          <w:rFonts w:cs="Arial"/>
          <w:szCs w:val="22"/>
        </w:rPr>
        <w:t xml:space="preserve">Zusätzlich müssen </w:t>
      </w:r>
      <w:proofErr w:type="spellStart"/>
      <w:proofErr w:type="gramStart"/>
      <w:r w:rsidRPr="002C6938">
        <w:rPr>
          <w:rFonts w:cs="Arial"/>
          <w:szCs w:val="22"/>
        </w:rPr>
        <w:t>Bewerber:innen</w:t>
      </w:r>
      <w:proofErr w:type="spellEnd"/>
      <w:proofErr w:type="gramEnd"/>
      <w:r w:rsidRPr="002C6938">
        <w:rPr>
          <w:rFonts w:cs="Arial"/>
          <w:szCs w:val="22"/>
        </w:rPr>
        <w:t xml:space="preserve"> für den englischsprachigen Studiengang einen Nachweis über Englischkenntnisse gemäß dem Niveau B2 des Gemeinsamen Europäischen Referenzrahmens (GER) vorweisen. Die Möglichkeiten des Nachweises sind in §3 Abs. 3 der Imma</w:t>
      </w:r>
      <w:r>
        <w:rPr>
          <w:rFonts w:cs="Arial"/>
          <w:szCs w:val="22"/>
        </w:rPr>
        <w:t>trikulationsordnung beschrieben</w:t>
      </w:r>
      <w:r w:rsidR="00490D81">
        <w:rPr>
          <w:rFonts w:cs="Arial"/>
          <w:szCs w:val="22"/>
        </w:rPr>
        <w:t xml:space="preserve">. </w:t>
      </w:r>
    </w:p>
    <w:p w14:paraId="1FAB63CD" w14:textId="77777777" w:rsidR="00FE735A" w:rsidRPr="00FE735A" w:rsidRDefault="00FE735A" w:rsidP="00FE735A">
      <w:pPr>
        <w:pStyle w:val="Bewertung"/>
        <w:rPr>
          <w:rFonts w:ascii="Arial" w:hAnsi="Arial" w:cs="Arial"/>
          <w:i/>
          <w:sz w:val="22"/>
          <w:u w:val="single"/>
        </w:rPr>
      </w:pPr>
      <w:r w:rsidRPr="00FE735A">
        <w:rPr>
          <w:rFonts w:ascii="Arial" w:hAnsi="Arial" w:cs="Arial"/>
          <w:i/>
          <w:sz w:val="22"/>
          <w:u w:val="single"/>
        </w:rPr>
        <w:t>Ergänzung im Zuge der Stellungnahme der Hochschule</w:t>
      </w:r>
    </w:p>
    <w:p w14:paraId="0D2075FC" w14:textId="77777777" w:rsidR="00FE735A" w:rsidRDefault="00FE735A" w:rsidP="00FE735A">
      <w:pPr>
        <w:pStyle w:val="Bewertung"/>
        <w:rPr>
          <w:rFonts w:ascii="Arial" w:hAnsi="Arial" w:cs="Arial"/>
          <w:sz w:val="22"/>
        </w:rPr>
      </w:pPr>
      <w:r w:rsidRPr="00FE735A">
        <w:rPr>
          <w:rFonts w:ascii="Arial" w:hAnsi="Arial" w:cs="Arial"/>
          <w:sz w:val="22"/>
        </w:rPr>
        <w:t>[…]</w:t>
      </w:r>
    </w:p>
    <w:p w14:paraId="315AF51A" w14:textId="77777777" w:rsidR="00FE735A" w:rsidRPr="00FE735A" w:rsidRDefault="00FE735A" w:rsidP="00FE735A">
      <w:pPr>
        <w:pStyle w:val="Bewertung"/>
        <w:rPr>
          <w:rFonts w:ascii="Arial" w:hAnsi="Arial" w:cs="Arial"/>
          <w:i/>
          <w:sz w:val="22"/>
          <w:u w:val="single"/>
        </w:rPr>
      </w:pPr>
      <w:r>
        <w:rPr>
          <w:rFonts w:ascii="Arial" w:hAnsi="Arial" w:cs="Arial"/>
          <w:i/>
          <w:sz w:val="22"/>
          <w:u w:val="single"/>
        </w:rPr>
        <w:t>Ergänzung in Zuge der Qualitätsverbesserungsschleife</w:t>
      </w:r>
    </w:p>
    <w:p w14:paraId="0979B4E6" w14:textId="77777777" w:rsidR="00FE735A" w:rsidRDefault="00FE735A" w:rsidP="00FE735A">
      <w:pPr>
        <w:pStyle w:val="Bewertung"/>
        <w:rPr>
          <w:rFonts w:ascii="Arial" w:hAnsi="Arial" w:cs="Arial"/>
          <w:sz w:val="22"/>
        </w:rPr>
      </w:pPr>
      <w:r w:rsidRPr="00FE735A">
        <w:rPr>
          <w:rFonts w:ascii="Arial" w:hAnsi="Arial" w:cs="Arial"/>
          <w:sz w:val="22"/>
        </w:rPr>
        <w:t>[…]</w:t>
      </w:r>
    </w:p>
    <w:p w14:paraId="1D1D95DA" w14:textId="77777777" w:rsidR="003C6149" w:rsidRPr="00457100" w:rsidRDefault="003C6149" w:rsidP="001C31ED">
      <w:pPr>
        <w:spacing w:before="0"/>
        <w:rPr>
          <w:rFonts w:cs="Arial"/>
          <w:color w:val="A71930"/>
          <w:szCs w:val="22"/>
        </w:rPr>
      </w:pPr>
      <w:r w:rsidRPr="00457100">
        <w:rPr>
          <w:rFonts w:cs="Arial"/>
          <w:b/>
          <w:color w:val="A71930"/>
          <w:szCs w:val="22"/>
        </w:rPr>
        <w:t>Entscheidungsvorschlag</w:t>
      </w:r>
    </w:p>
    <w:p w14:paraId="130A8BD0" w14:textId="77777777" w:rsidR="00D057A6" w:rsidRPr="00D057A6" w:rsidRDefault="004F3EBA" w:rsidP="002C6938">
      <w:pPr>
        <w:spacing w:before="0"/>
        <w:rPr>
          <w:rFonts w:cs="Arial"/>
          <w:i/>
          <w:szCs w:val="22"/>
        </w:rPr>
      </w:pPr>
      <w:r w:rsidRPr="00D057A6">
        <w:rPr>
          <w:rFonts w:cs="Arial"/>
          <w:szCs w:val="22"/>
        </w:rPr>
        <w:t>Kriterium ist erfüllt</w:t>
      </w:r>
      <w:r w:rsidR="002C6938">
        <w:rPr>
          <w:rFonts w:cs="Arial"/>
          <w:szCs w:val="22"/>
        </w:rPr>
        <w:t>.</w:t>
      </w:r>
    </w:p>
    <w:p w14:paraId="16A26635" w14:textId="77777777" w:rsidR="004E1B65" w:rsidRDefault="004E1B65" w:rsidP="001C31ED">
      <w:pPr>
        <w:spacing w:before="0"/>
        <w:jc w:val="left"/>
        <w:rPr>
          <w:rFonts w:cs="Arial"/>
          <w:b/>
          <w:bCs/>
          <w:szCs w:val="22"/>
          <w:lang w:eastAsia="en-US"/>
        </w:rPr>
      </w:pPr>
    </w:p>
    <w:p w14:paraId="6F37C935" w14:textId="77777777" w:rsidR="00030E04" w:rsidRPr="00030E04" w:rsidRDefault="000F574D" w:rsidP="00954DDF">
      <w:pPr>
        <w:pStyle w:val="berschrift2"/>
        <w:numPr>
          <w:ilvl w:val="0"/>
          <w:numId w:val="0"/>
        </w:numPr>
        <w:spacing w:before="0"/>
      </w:pPr>
      <w:bookmarkStart w:id="14" w:name="_Abschlüsse_und_Abschlussbezeichnung"/>
      <w:bookmarkStart w:id="15" w:name="_Toc190351691"/>
      <w:bookmarkEnd w:id="14"/>
      <w:r w:rsidRPr="00457100">
        <w:t>Abschlüsse und Abschlussbezeichnungen</w:t>
      </w:r>
      <w:r w:rsidR="006A18E3" w:rsidRPr="00457100">
        <w:t xml:space="preserve"> </w:t>
      </w:r>
      <w:r w:rsidR="006A18E3" w:rsidRPr="00030E04">
        <w:t xml:space="preserve">(§ 6 </w:t>
      </w:r>
      <w:proofErr w:type="spellStart"/>
      <w:r w:rsidR="00BD500A">
        <w:t>StudAkkV</w:t>
      </w:r>
      <w:proofErr w:type="spellEnd"/>
      <w:r w:rsidR="006A18E3" w:rsidRPr="00030E04">
        <w:t>)</w:t>
      </w:r>
      <w:bookmarkEnd w:id="15"/>
    </w:p>
    <w:p w14:paraId="4A2EDACF" w14:textId="77777777" w:rsidR="004E1B65" w:rsidRDefault="003336AB" w:rsidP="00BB469C">
      <w:pPr>
        <w:spacing w:before="0"/>
        <w:rPr>
          <w:rFonts w:cs="Arial"/>
          <w:b/>
          <w:color w:val="A71930"/>
          <w:szCs w:val="22"/>
        </w:rPr>
      </w:pPr>
      <w:r>
        <w:rPr>
          <w:rFonts w:cs="Arial"/>
          <w:b/>
          <w:color w:val="A71930"/>
          <w:szCs w:val="22"/>
        </w:rPr>
        <w:t>Sachstand</w:t>
      </w:r>
      <w:r w:rsidR="004E1B65" w:rsidRPr="00457100">
        <w:rPr>
          <w:rFonts w:cs="Arial"/>
          <w:b/>
          <w:color w:val="A71930"/>
          <w:szCs w:val="22"/>
        </w:rPr>
        <w:t>/Bewertung</w:t>
      </w:r>
    </w:p>
    <w:p w14:paraId="028D080D" w14:textId="77777777" w:rsidR="002C6938" w:rsidRDefault="002C6938" w:rsidP="002C6938">
      <w:pPr>
        <w:spacing w:before="0" w:after="120"/>
        <w:rPr>
          <w:rFonts w:cs="Arial"/>
          <w:szCs w:val="22"/>
        </w:rPr>
      </w:pPr>
      <w:r>
        <w:rPr>
          <w:rFonts w:cs="Arial"/>
          <w:szCs w:val="22"/>
        </w:rPr>
        <w:t>Für den Studiengang wird nur der Abschlussgrad „Master of Science“</w:t>
      </w:r>
      <w:r w:rsidRPr="002C6938">
        <w:rPr>
          <w:rFonts w:cs="Arial"/>
          <w:szCs w:val="22"/>
        </w:rPr>
        <w:t xml:space="preserve"> </w:t>
      </w:r>
      <w:r>
        <w:rPr>
          <w:rFonts w:cs="Arial"/>
          <w:szCs w:val="22"/>
        </w:rPr>
        <w:t xml:space="preserve">verliehen. </w:t>
      </w:r>
    </w:p>
    <w:p w14:paraId="777A8DD2" w14:textId="77777777" w:rsidR="00A656B0" w:rsidRPr="007B58D9" w:rsidRDefault="002C6938" w:rsidP="00954DDF">
      <w:pPr>
        <w:spacing w:before="0" w:after="120"/>
        <w:rPr>
          <w:rFonts w:cs="Arial"/>
          <w:szCs w:val="22"/>
        </w:rPr>
      </w:pPr>
      <w:r>
        <w:rPr>
          <w:rFonts w:cs="Arial"/>
          <w:szCs w:val="22"/>
        </w:rPr>
        <w:t xml:space="preserve">Das Diploma Supplement, welches Bestandteil jedes Abschlusszeugnis ist, erteilt im Einzelnen Auskunft über das dem Abschluss zugrundeliegende Studium. Es entspricht </w:t>
      </w:r>
      <w:r w:rsidR="00954DDF">
        <w:rPr>
          <w:rFonts w:cs="Arial"/>
          <w:szCs w:val="22"/>
        </w:rPr>
        <w:t>der</w:t>
      </w:r>
      <w:r>
        <w:rPr>
          <w:rFonts w:cs="Arial"/>
          <w:szCs w:val="22"/>
        </w:rPr>
        <w:t xml:space="preserve"> Vor</w:t>
      </w:r>
      <w:r w:rsidR="003365CC">
        <w:rPr>
          <w:rFonts w:cs="Arial"/>
          <w:szCs w:val="22"/>
        </w:rPr>
        <w:t>lage der HRK und erfüllt somit alle Vorgaben</w:t>
      </w:r>
      <w:r w:rsidR="00954DDF">
        <w:rPr>
          <w:rFonts w:cs="Arial"/>
          <w:szCs w:val="22"/>
        </w:rPr>
        <w:t>.</w:t>
      </w:r>
    </w:p>
    <w:p w14:paraId="339FACD9" w14:textId="77777777" w:rsidR="00FE735A" w:rsidRPr="00FE735A" w:rsidRDefault="00FE735A" w:rsidP="00FE735A">
      <w:pPr>
        <w:pStyle w:val="Bewertung"/>
        <w:rPr>
          <w:rFonts w:ascii="Arial" w:hAnsi="Arial" w:cs="Arial"/>
          <w:i/>
          <w:sz w:val="22"/>
          <w:u w:val="single"/>
        </w:rPr>
      </w:pPr>
      <w:r w:rsidRPr="00FE735A">
        <w:rPr>
          <w:rFonts w:ascii="Arial" w:hAnsi="Arial" w:cs="Arial"/>
          <w:i/>
          <w:sz w:val="22"/>
          <w:u w:val="single"/>
        </w:rPr>
        <w:t>Ergänzung im Zuge der Stellungnahme der Hochschule</w:t>
      </w:r>
    </w:p>
    <w:p w14:paraId="0FB6DF78" w14:textId="77777777" w:rsidR="003365CC" w:rsidRDefault="00FE735A" w:rsidP="00FE735A">
      <w:pPr>
        <w:pStyle w:val="Bewertung"/>
        <w:rPr>
          <w:rFonts w:ascii="Arial" w:hAnsi="Arial" w:cs="Arial"/>
          <w:sz w:val="22"/>
        </w:rPr>
      </w:pPr>
      <w:r w:rsidRPr="00FE735A">
        <w:rPr>
          <w:rFonts w:ascii="Arial" w:hAnsi="Arial" w:cs="Arial"/>
          <w:sz w:val="22"/>
        </w:rPr>
        <w:t>[…]</w:t>
      </w:r>
    </w:p>
    <w:p w14:paraId="75A7C1E0" w14:textId="77777777" w:rsidR="00FE735A" w:rsidRPr="003365CC" w:rsidRDefault="00FE735A" w:rsidP="00FE735A">
      <w:pPr>
        <w:pStyle w:val="Bewertung"/>
        <w:rPr>
          <w:rFonts w:ascii="Arial" w:hAnsi="Arial" w:cs="Arial"/>
          <w:sz w:val="22"/>
        </w:rPr>
      </w:pPr>
      <w:r>
        <w:rPr>
          <w:rFonts w:ascii="Arial" w:hAnsi="Arial" w:cs="Arial"/>
          <w:i/>
          <w:sz w:val="22"/>
          <w:u w:val="single"/>
        </w:rPr>
        <w:t>Ergänzung in Zuge der Qualitätsverbesserungsschleife</w:t>
      </w:r>
    </w:p>
    <w:p w14:paraId="3FC5B2EC" w14:textId="77777777" w:rsidR="00FE735A" w:rsidRDefault="00FE735A" w:rsidP="00FE735A">
      <w:pPr>
        <w:pStyle w:val="Bewertung"/>
        <w:rPr>
          <w:rFonts w:ascii="Arial" w:hAnsi="Arial" w:cs="Arial"/>
          <w:sz w:val="22"/>
        </w:rPr>
      </w:pPr>
      <w:r w:rsidRPr="00FE735A">
        <w:rPr>
          <w:rFonts w:ascii="Arial" w:hAnsi="Arial" w:cs="Arial"/>
          <w:sz w:val="22"/>
        </w:rPr>
        <w:t>[…]</w:t>
      </w:r>
    </w:p>
    <w:p w14:paraId="1E6DEE04" w14:textId="77777777" w:rsidR="004E1B65" w:rsidRPr="00457100" w:rsidRDefault="004E1B65" w:rsidP="00BB469C">
      <w:pPr>
        <w:spacing w:before="0"/>
        <w:rPr>
          <w:rFonts w:cs="Arial"/>
          <w:color w:val="A71930"/>
          <w:szCs w:val="22"/>
        </w:rPr>
      </w:pPr>
      <w:r w:rsidRPr="00457100">
        <w:rPr>
          <w:rFonts w:cs="Arial"/>
          <w:b/>
          <w:color w:val="A71930"/>
          <w:szCs w:val="22"/>
        </w:rPr>
        <w:lastRenderedPageBreak/>
        <w:t>Entscheidungsvorschlag</w:t>
      </w:r>
    </w:p>
    <w:p w14:paraId="7A50C09A" w14:textId="77777777" w:rsidR="003365CC" w:rsidRPr="00D057A6" w:rsidRDefault="003365CC" w:rsidP="003365CC">
      <w:pPr>
        <w:spacing w:before="0"/>
        <w:rPr>
          <w:rFonts w:cs="Arial"/>
          <w:i/>
          <w:szCs w:val="22"/>
        </w:rPr>
      </w:pPr>
      <w:r w:rsidRPr="00D057A6">
        <w:rPr>
          <w:rFonts w:cs="Arial"/>
          <w:szCs w:val="22"/>
        </w:rPr>
        <w:t>Kriterium ist erfüllt</w:t>
      </w:r>
      <w:r>
        <w:rPr>
          <w:rFonts w:cs="Arial"/>
          <w:szCs w:val="22"/>
        </w:rPr>
        <w:t>.</w:t>
      </w:r>
    </w:p>
    <w:p w14:paraId="06F9DA25" w14:textId="77777777" w:rsidR="00484697" w:rsidRPr="00484697" w:rsidRDefault="00484697" w:rsidP="00BB469C">
      <w:pPr>
        <w:spacing w:before="0"/>
        <w:rPr>
          <w:lang w:eastAsia="en-US"/>
        </w:rPr>
      </w:pPr>
    </w:p>
    <w:p w14:paraId="3A327D35" w14:textId="77777777" w:rsidR="00030E04" w:rsidRPr="00030E04" w:rsidRDefault="000F574D" w:rsidP="009B7F5E">
      <w:pPr>
        <w:pStyle w:val="berschrift2"/>
        <w:numPr>
          <w:ilvl w:val="0"/>
          <w:numId w:val="0"/>
        </w:numPr>
        <w:spacing w:before="0"/>
      </w:pPr>
      <w:bookmarkStart w:id="16" w:name="_Modularisierung_(§_7"/>
      <w:bookmarkStart w:id="17" w:name="_Toc190351692"/>
      <w:bookmarkEnd w:id="16"/>
      <w:r w:rsidRPr="00457100">
        <w:t>Modularisierung</w:t>
      </w:r>
      <w:r w:rsidR="006A18E3" w:rsidRPr="00457100">
        <w:t xml:space="preserve"> </w:t>
      </w:r>
      <w:r w:rsidR="006A18E3" w:rsidRPr="00030E04">
        <w:t xml:space="preserve">(§ 7 </w:t>
      </w:r>
      <w:proofErr w:type="spellStart"/>
      <w:r w:rsidR="00BD500A">
        <w:t>StudAkkV</w:t>
      </w:r>
      <w:proofErr w:type="spellEnd"/>
      <w:r w:rsidR="006A18E3" w:rsidRPr="00030E04">
        <w:t>)</w:t>
      </w:r>
      <w:bookmarkEnd w:id="17"/>
    </w:p>
    <w:p w14:paraId="3DFA23D5" w14:textId="77777777" w:rsidR="00A656B0" w:rsidRDefault="003336AB" w:rsidP="001C31ED">
      <w:pPr>
        <w:spacing w:before="0"/>
        <w:rPr>
          <w:rFonts w:cs="Arial"/>
          <w:b/>
          <w:color w:val="A71930"/>
          <w:szCs w:val="22"/>
        </w:rPr>
      </w:pPr>
      <w:r>
        <w:rPr>
          <w:rFonts w:cs="Arial"/>
          <w:b/>
          <w:color w:val="A71930"/>
          <w:szCs w:val="22"/>
        </w:rPr>
        <w:t>Sachstand</w:t>
      </w:r>
      <w:r w:rsidR="004E1B65" w:rsidRPr="00457100">
        <w:rPr>
          <w:rFonts w:cs="Arial"/>
          <w:b/>
          <w:color w:val="A71930"/>
          <w:szCs w:val="22"/>
        </w:rPr>
        <w:t>/Bewertung</w:t>
      </w:r>
    </w:p>
    <w:p w14:paraId="403D8A74" w14:textId="77777777" w:rsidR="00954DDF" w:rsidRPr="00260C7D" w:rsidRDefault="00954DDF" w:rsidP="00954DDF">
      <w:pPr>
        <w:spacing w:before="0" w:after="120"/>
        <w:rPr>
          <w:rFonts w:cs="Arial"/>
          <w:szCs w:val="22"/>
        </w:rPr>
      </w:pPr>
      <w:r>
        <w:rPr>
          <w:rFonts w:cs="Arial"/>
          <w:szCs w:val="22"/>
        </w:rPr>
        <w:t>Der</w:t>
      </w:r>
      <w:r w:rsidRPr="00D62D18">
        <w:rPr>
          <w:rFonts w:cs="Arial"/>
          <w:szCs w:val="22"/>
        </w:rPr>
        <w:t xml:space="preserve"> Studieng</w:t>
      </w:r>
      <w:r>
        <w:rPr>
          <w:rFonts w:cs="Arial"/>
          <w:szCs w:val="22"/>
        </w:rPr>
        <w:t>ang ist</w:t>
      </w:r>
      <w:r w:rsidRPr="00D62D18">
        <w:rPr>
          <w:rFonts w:cs="Arial"/>
          <w:szCs w:val="22"/>
        </w:rPr>
        <w:t xml:space="preserve"> vollständig modularisiert. Dabei umfasst jedes Modul zeitlich und thematisch abgegrenzte Studieninhalte.</w:t>
      </w:r>
      <w:r>
        <w:rPr>
          <w:rFonts w:cs="Arial"/>
          <w:szCs w:val="22"/>
        </w:rPr>
        <w:t xml:space="preserve"> In dem </w:t>
      </w:r>
      <w:r w:rsidRPr="00D62D18">
        <w:rPr>
          <w:rFonts w:cs="Arial"/>
          <w:szCs w:val="22"/>
        </w:rPr>
        <w:t>Studieng</w:t>
      </w:r>
      <w:r>
        <w:rPr>
          <w:rFonts w:cs="Arial"/>
          <w:szCs w:val="22"/>
        </w:rPr>
        <w:t xml:space="preserve">ang </w:t>
      </w:r>
      <w:r w:rsidR="009B7F5E">
        <w:rPr>
          <w:rFonts w:cs="Arial"/>
          <w:szCs w:val="22"/>
        </w:rPr>
        <w:t xml:space="preserve">umfassen alle Module mindestens 5 ECTS Punkte und </w:t>
      </w:r>
      <w:r>
        <w:rPr>
          <w:rFonts w:cs="Arial"/>
          <w:szCs w:val="22"/>
        </w:rPr>
        <w:t>werden innerhalb eines Semesters abgeschlossen</w:t>
      </w:r>
      <w:r w:rsidRPr="00C63CE8">
        <w:rPr>
          <w:rFonts w:cs="Arial"/>
          <w:szCs w:val="22"/>
        </w:rPr>
        <w:t xml:space="preserve">. </w:t>
      </w:r>
    </w:p>
    <w:p w14:paraId="13F56972" w14:textId="77777777" w:rsidR="00954DDF" w:rsidRPr="00E70461" w:rsidRDefault="00954DDF" w:rsidP="00954DDF">
      <w:pPr>
        <w:rPr>
          <w:lang w:eastAsia="en-US"/>
        </w:rPr>
      </w:pPr>
      <w:r w:rsidRPr="006B0A97">
        <w:rPr>
          <w:rFonts w:cs="Arial"/>
          <w:szCs w:val="22"/>
        </w:rPr>
        <w:t xml:space="preserve">Die Modulbeschreibungen geben Auskunft über Inhalte und Qualifikationsziele des Moduls, Lehr- und Lernformen, Voraussetzungen für die Teilnahme, Voraussetzungen für die Vergabe von ECTS-Punkten entsprechend dem European </w:t>
      </w:r>
      <w:proofErr w:type="spellStart"/>
      <w:r w:rsidRPr="006B0A97">
        <w:rPr>
          <w:rFonts w:cs="Arial"/>
          <w:szCs w:val="22"/>
        </w:rPr>
        <w:t>Credit</w:t>
      </w:r>
      <w:proofErr w:type="spellEnd"/>
      <w:r w:rsidRPr="006B0A97">
        <w:rPr>
          <w:rFonts w:cs="Arial"/>
          <w:szCs w:val="22"/>
        </w:rPr>
        <w:t xml:space="preserve"> Transfer System, ECTS-Punkte und Benotung, Häufigkeit des Angebots des Moduls, die Verwendbarkeit, sowie den Arbeitsaufwand und die Dauer des Moduls. </w:t>
      </w:r>
    </w:p>
    <w:p w14:paraId="48DB0412" w14:textId="77777777" w:rsidR="00A656B0" w:rsidRPr="007B58D9" w:rsidRDefault="00A656B0" w:rsidP="00A656B0">
      <w:pPr>
        <w:spacing w:before="0" w:after="120" w:line="240" w:lineRule="auto"/>
        <w:rPr>
          <w:rFonts w:cs="Arial"/>
          <w:szCs w:val="22"/>
        </w:rPr>
      </w:pPr>
    </w:p>
    <w:p w14:paraId="1537EF39" w14:textId="77777777" w:rsidR="00FE735A" w:rsidRPr="00FE735A" w:rsidRDefault="00FE735A" w:rsidP="00FE735A">
      <w:pPr>
        <w:pStyle w:val="Bewertung"/>
        <w:rPr>
          <w:rFonts w:ascii="Arial" w:hAnsi="Arial" w:cs="Arial"/>
          <w:i/>
          <w:sz w:val="22"/>
          <w:u w:val="single"/>
        </w:rPr>
      </w:pPr>
      <w:r w:rsidRPr="00FE735A">
        <w:rPr>
          <w:rFonts w:ascii="Arial" w:hAnsi="Arial" w:cs="Arial"/>
          <w:i/>
          <w:sz w:val="22"/>
          <w:u w:val="single"/>
        </w:rPr>
        <w:t>Ergänzung im Zuge der Stellungnahme der Hochschule</w:t>
      </w:r>
    </w:p>
    <w:p w14:paraId="1DE11887" w14:textId="77777777" w:rsidR="00FE735A" w:rsidRDefault="00FE735A" w:rsidP="00FE735A">
      <w:pPr>
        <w:pStyle w:val="Bewertung"/>
        <w:rPr>
          <w:rFonts w:ascii="Arial" w:hAnsi="Arial" w:cs="Arial"/>
          <w:sz w:val="22"/>
        </w:rPr>
      </w:pPr>
      <w:r w:rsidRPr="00FE735A">
        <w:rPr>
          <w:rFonts w:ascii="Arial" w:hAnsi="Arial" w:cs="Arial"/>
          <w:sz w:val="22"/>
        </w:rPr>
        <w:t>[…]</w:t>
      </w:r>
    </w:p>
    <w:p w14:paraId="5F76BD12" w14:textId="77777777" w:rsidR="00FE735A" w:rsidRPr="00FE735A" w:rsidRDefault="00FE735A" w:rsidP="00FE735A">
      <w:pPr>
        <w:pStyle w:val="Bewertung"/>
        <w:rPr>
          <w:rFonts w:ascii="Arial" w:hAnsi="Arial" w:cs="Arial"/>
          <w:i/>
          <w:sz w:val="22"/>
          <w:u w:val="single"/>
        </w:rPr>
      </w:pPr>
      <w:r>
        <w:rPr>
          <w:rFonts w:ascii="Arial" w:hAnsi="Arial" w:cs="Arial"/>
          <w:i/>
          <w:sz w:val="22"/>
          <w:u w:val="single"/>
        </w:rPr>
        <w:t>Ergänzung in Zuge der Qualitätsverbesserungsschleife</w:t>
      </w:r>
    </w:p>
    <w:p w14:paraId="6940470F" w14:textId="77777777" w:rsidR="00FE735A" w:rsidRDefault="00FE735A" w:rsidP="00FE735A">
      <w:pPr>
        <w:pStyle w:val="Bewertung"/>
        <w:rPr>
          <w:rFonts w:ascii="Arial" w:hAnsi="Arial" w:cs="Arial"/>
          <w:sz w:val="22"/>
        </w:rPr>
      </w:pPr>
      <w:r w:rsidRPr="00FE735A">
        <w:rPr>
          <w:rFonts w:ascii="Arial" w:hAnsi="Arial" w:cs="Arial"/>
          <w:sz w:val="22"/>
        </w:rPr>
        <w:t>[…]</w:t>
      </w:r>
    </w:p>
    <w:p w14:paraId="61F2FD63" w14:textId="77777777" w:rsidR="004E1B65" w:rsidRPr="00457100" w:rsidRDefault="004E1B65" w:rsidP="001C31ED">
      <w:pPr>
        <w:spacing w:before="0"/>
        <w:rPr>
          <w:rFonts w:cs="Arial"/>
          <w:color w:val="A71930"/>
          <w:szCs w:val="22"/>
        </w:rPr>
      </w:pPr>
      <w:r w:rsidRPr="00457100">
        <w:rPr>
          <w:rFonts w:cs="Arial"/>
          <w:b/>
          <w:color w:val="A71930"/>
          <w:szCs w:val="22"/>
        </w:rPr>
        <w:t>Entscheidungsvorschlag</w:t>
      </w:r>
    </w:p>
    <w:p w14:paraId="41EFB13B" w14:textId="77777777" w:rsidR="004E1B65" w:rsidRPr="00D057A6" w:rsidRDefault="004E1B65" w:rsidP="009B7F5E">
      <w:pPr>
        <w:spacing w:before="0"/>
        <w:rPr>
          <w:rFonts w:cs="Arial"/>
          <w:i/>
          <w:szCs w:val="22"/>
        </w:rPr>
      </w:pPr>
      <w:r w:rsidRPr="00D057A6">
        <w:rPr>
          <w:rFonts w:cs="Arial"/>
          <w:szCs w:val="22"/>
        </w:rPr>
        <w:t>Kriterium ist erfüllt</w:t>
      </w:r>
      <w:r w:rsidR="009B7F5E">
        <w:rPr>
          <w:rFonts w:cs="Arial"/>
          <w:szCs w:val="22"/>
        </w:rPr>
        <w:t>.</w:t>
      </w:r>
    </w:p>
    <w:p w14:paraId="236EFE5A" w14:textId="77777777" w:rsidR="00021295" w:rsidRPr="00457100" w:rsidRDefault="00021295" w:rsidP="001C31ED">
      <w:pPr>
        <w:spacing w:before="0"/>
        <w:rPr>
          <w:rFonts w:cs="Arial"/>
          <w:szCs w:val="22"/>
        </w:rPr>
      </w:pPr>
    </w:p>
    <w:p w14:paraId="742074F8" w14:textId="77777777" w:rsidR="00030E04" w:rsidRPr="00030E04" w:rsidRDefault="000F574D" w:rsidP="00B61F67">
      <w:pPr>
        <w:pStyle w:val="berschrift2"/>
        <w:numPr>
          <w:ilvl w:val="0"/>
          <w:numId w:val="0"/>
        </w:numPr>
        <w:spacing w:before="0"/>
        <w:ind w:left="567" w:hanging="567"/>
      </w:pPr>
      <w:bookmarkStart w:id="18" w:name="_Leistungspunktesystem_(§_8"/>
      <w:bookmarkStart w:id="19" w:name="_Toc190351693"/>
      <w:bookmarkEnd w:id="18"/>
      <w:r w:rsidRPr="00457100">
        <w:t>Leistungspunktesystem</w:t>
      </w:r>
      <w:r w:rsidR="006A18E3" w:rsidRPr="00457100">
        <w:t xml:space="preserve"> </w:t>
      </w:r>
      <w:r w:rsidR="006A18E3" w:rsidRPr="00030E04">
        <w:t xml:space="preserve">(§ 8 </w:t>
      </w:r>
      <w:proofErr w:type="spellStart"/>
      <w:r w:rsidR="00BD500A">
        <w:t>StudAkkV</w:t>
      </w:r>
      <w:proofErr w:type="spellEnd"/>
      <w:r w:rsidR="006A18E3" w:rsidRPr="00030E04">
        <w:t>)</w:t>
      </w:r>
      <w:bookmarkEnd w:id="19"/>
    </w:p>
    <w:p w14:paraId="1C3449BA" w14:textId="77777777" w:rsidR="004E1B65" w:rsidRDefault="003336AB" w:rsidP="001C31ED">
      <w:pPr>
        <w:spacing w:before="0"/>
        <w:rPr>
          <w:rFonts w:cs="Arial"/>
          <w:b/>
          <w:color w:val="A71930"/>
          <w:szCs w:val="22"/>
        </w:rPr>
      </w:pPr>
      <w:r>
        <w:rPr>
          <w:rFonts w:cs="Arial"/>
          <w:b/>
          <w:color w:val="A71930"/>
          <w:szCs w:val="22"/>
        </w:rPr>
        <w:t>Sachstand</w:t>
      </w:r>
      <w:r w:rsidR="00A656B0">
        <w:rPr>
          <w:rFonts w:cs="Arial"/>
          <w:b/>
          <w:color w:val="A71930"/>
          <w:szCs w:val="22"/>
        </w:rPr>
        <w:t>/Bewertung</w:t>
      </w:r>
    </w:p>
    <w:p w14:paraId="1CFD3353" w14:textId="77777777" w:rsidR="009B7F5E" w:rsidRDefault="009B7F5E" w:rsidP="009B7F5E">
      <w:pPr>
        <w:autoSpaceDE w:val="0"/>
        <w:autoSpaceDN w:val="0"/>
        <w:adjustRightInd w:val="0"/>
        <w:spacing w:before="0"/>
        <w:rPr>
          <w:rFonts w:cs="Arial"/>
          <w:szCs w:val="22"/>
        </w:rPr>
      </w:pPr>
      <w:r>
        <w:rPr>
          <w:rFonts w:cs="Arial"/>
          <w:szCs w:val="22"/>
        </w:rPr>
        <w:t>Der</w:t>
      </w:r>
      <w:r w:rsidRPr="00256146">
        <w:rPr>
          <w:rFonts w:cs="Arial"/>
          <w:szCs w:val="22"/>
        </w:rPr>
        <w:t xml:space="preserve"> Studieng</w:t>
      </w:r>
      <w:r>
        <w:rPr>
          <w:rFonts w:cs="Arial"/>
          <w:szCs w:val="22"/>
        </w:rPr>
        <w:t>ang wendet</w:t>
      </w:r>
      <w:r w:rsidRPr="00256146">
        <w:rPr>
          <w:rFonts w:cs="Arial"/>
          <w:szCs w:val="22"/>
        </w:rPr>
        <w:t xml:space="preserve"> als Leistungspunktesystem das ECTS an. </w:t>
      </w:r>
      <w:r>
        <w:rPr>
          <w:rFonts w:cs="Arial"/>
          <w:szCs w:val="22"/>
        </w:rPr>
        <w:t xml:space="preserve">Einem ECTS-Punkt liegen dabei laut </w:t>
      </w:r>
      <w:r w:rsidRPr="009B7F5E">
        <w:rPr>
          <w:rFonts w:cs="Arial"/>
          <w:szCs w:val="22"/>
        </w:rPr>
        <w:t>§5</w:t>
      </w:r>
      <w:r>
        <w:rPr>
          <w:rFonts w:cs="Arial"/>
          <w:szCs w:val="22"/>
        </w:rPr>
        <w:t xml:space="preserve"> der studiengangspezifischen Prüfungsordnung 30 Stunden studentischen Arbeitsaufwands zugrunde. Für ein Modul werden ECTS-Leistungspunkte gewährt, wenn die vorgesehenen Leistungen nachgewiesen werden. Für den Masterabschluss werden unter Einbeziehung des vorangehenden Studiums 300 ECTS-Leistungspunkte vergeben. In der Vollzeitvariante werden in jedem Semester 30 ECTS Punkte erworben. In der Teilzeitvariante</w:t>
      </w:r>
      <w:r w:rsidR="00B61F67">
        <w:rPr>
          <w:rFonts w:cs="Arial"/>
          <w:szCs w:val="22"/>
        </w:rPr>
        <w:t xml:space="preserve"> reduzieren sich die ECTS Punkte pro Semester auf die Hälfte. </w:t>
      </w:r>
      <w:r>
        <w:rPr>
          <w:rFonts w:cs="Arial"/>
          <w:szCs w:val="22"/>
        </w:rPr>
        <w:t xml:space="preserve">Die Abschlussarbeit umfasst </w:t>
      </w:r>
      <w:r w:rsidR="00B61F67">
        <w:rPr>
          <w:rFonts w:cs="Arial"/>
          <w:szCs w:val="22"/>
        </w:rPr>
        <w:t>30</w:t>
      </w:r>
      <w:r>
        <w:rPr>
          <w:rFonts w:cs="Arial"/>
          <w:szCs w:val="22"/>
        </w:rPr>
        <w:t xml:space="preserve"> ECTS-Punkte</w:t>
      </w:r>
      <w:r w:rsidR="00B61F67">
        <w:rPr>
          <w:rFonts w:cs="Arial"/>
          <w:szCs w:val="22"/>
        </w:rPr>
        <w:t xml:space="preserve"> inklusive Kolloquium</w:t>
      </w:r>
      <w:r>
        <w:rPr>
          <w:rFonts w:cs="Arial"/>
          <w:szCs w:val="22"/>
        </w:rPr>
        <w:t>. Die formalen Vorgaben an das Kreditpunktesystem sind somit erfüllt.</w:t>
      </w:r>
    </w:p>
    <w:p w14:paraId="38A6A6F5" w14:textId="77777777" w:rsidR="00A656B0" w:rsidRPr="007B58D9" w:rsidRDefault="00A656B0" w:rsidP="00A656B0">
      <w:pPr>
        <w:spacing w:before="0" w:after="120" w:line="240" w:lineRule="auto"/>
        <w:rPr>
          <w:rFonts w:cs="Arial"/>
          <w:szCs w:val="22"/>
        </w:rPr>
      </w:pPr>
    </w:p>
    <w:p w14:paraId="6C5FDA7F" w14:textId="77777777" w:rsidR="00FE735A" w:rsidRPr="00FE735A" w:rsidRDefault="00FE735A" w:rsidP="00FE735A">
      <w:pPr>
        <w:pStyle w:val="Bewertung"/>
        <w:rPr>
          <w:rFonts w:ascii="Arial" w:hAnsi="Arial" w:cs="Arial"/>
          <w:i/>
          <w:sz w:val="22"/>
          <w:u w:val="single"/>
        </w:rPr>
      </w:pPr>
      <w:r w:rsidRPr="00FE735A">
        <w:rPr>
          <w:rFonts w:ascii="Arial" w:hAnsi="Arial" w:cs="Arial"/>
          <w:i/>
          <w:sz w:val="22"/>
          <w:u w:val="single"/>
        </w:rPr>
        <w:t>Ergänzung im Zuge der Stellungnahme der Hochschule</w:t>
      </w:r>
    </w:p>
    <w:p w14:paraId="344E1DA4" w14:textId="77777777" w:rsidR="00FE735A" w:rsidRDefault="00FE735A" w:rsidP="00FE735A">
      <w:pPr>
        <w:pStyle w:val="Bewertung"/>
        <w:rPr>
          <w:rFonts w:ascii="Arial" w:hAnsi="Arial" w:cs="Arial"/>
          <w:sz w:val="22"/>
        </w:rPr>
      </w:pPr>
      <w:r w:rsidRPr="00FE735A">
        <w:rPr>
          <w:rFonts w:ascii="Arial" w:hAnsi="Arial" w:cs="Arial"/>
          <w:sz w:val="22"/>
        </w:rPr>
        <w:t>[…]</w:t>
      </w:r>
    </w:p>
    <w:p w14:paraId="33D3FECF" w14:textId="77777777" w:rsidR="00FE735A" w:rsidRPr="00FE735A" w:rsidRDefault="00FE735A" w:rsidP="00FE735A">
      <w:pPr>
        <w:pStyle w:val="Bewertung"/>
        <w:rPr>
          <w:rFonts w:ascii="Arial" w:hAnsi="Arial" w:cs="Arial"/>
          <w:i/>
          <w:sz w:val="22"/>
          <w:u w:val="single"/>
        </w:rPr>
      </w:pPr>
      <w:r>
        <w:rPr>
          <w:rFonts w:ascii="Arial" w:hAnsi="Arial" w:cs="Arial"/>
          <w:i/>
          <w:sz w:val="22"/>
          <w:u w:val="single"/>
        </w:rPr>
        <w:t>Ergänzung in Zuge der Qualitätsverbesserungsschleife</w:t>
      </w:r>
    </w:p>
    <w:p w14:paraId="66E32A0E" w14:textId="77777777" w:rsidR="00FE735A" w:rsidRDefault="00FE735A" w:rsidP="00FE735A">
      <w:pPr>
        <w:pStyle w:val="Bewertung"/>
        <w:rPr>
          <w:rFonts w:ascii="Arial" w:hAnsi="Arial" w:cs="Arial"/>
          <w:sz w:val="22"/>
        </w:rPr>
      </w:pPr>
      <w:r w:rsidRPr="00FE735A">
        <w:rPr>
          <w:rFonts w:ascii="Arial" w:hAnsi="Arial" w:cs="Arial"/>
          <w:sz w:val="22"/>
        </w:rPr>
        <w:lastRenderedPageBreak/>
        <w:t>[…]</w:t>
      </w:r>
    </w:p>
    <w:p w14:paraId="33D159A4" w14:textId="77777777" w:rsidR="004E1B65" w:rsidRPr="00457100" w:rsidRDefault="004E1B65" w:rsidP="001C31ED">
      <w:pPr>
        <w:spacing w:before="0"/>
        <w:rPr>
          <w:rFonts w:cs="Arial"/>
          <w:color w:val="A71930"/>
          <w:szCs w:val="22"/>
        </w:rPr>
      </w:pPr>
      <w:r w:rsidRPr="00457100">
        <w:rPr>
          <w:rFonts w:cs="Arial"/>
          <w:b/>
          <w:color w:val="A71930"/>
          <w:szCs w:val="22"/>
        </w:rPr>
        <w:t>Entscheidungsvorschlag</w:t>
      </w:r>
    </w:p>
    <w:p w14:paraId="0168BA67" w14:textId="77777777" w:rsidR="004E1B65" w:rsidRPr="00D057A6" w:rsidRDefault="003365CC" w:rsidP="00B61F67">
      <w:pPr>
        <w:spacing w:before="0"/>
        <w:rPr>
          <w:rFonts w:cs="Arial"/>
          <w:i/>
          <w:szCs w:val="22"/>
        </w:rPr>
      </w:pPr>
      <w:r>
        <w:rPr>
          <w:rFonts w:cs="Arial"/>
          <w:szCs w:val="22"/>
        </w:rPr>
        <w:t>Kriterium ist erfüllt</w:t>
      </w:r>
      <w:r w:rsidR="00B61F67">
        <w:rPr>
          <w:rFonts w:cs="Arial"/>
          <w:szCs w:val="22"/>
        </w:rPr>
        <w:t>.</w:t>
      </w:r>
    </w:p>
    <w:p w14:paraId="29C3C262" w14:textId="77777777" w:rsidR="00021295" w:rsidRDefault="00021295" w:rsidP="001C31ED">
      <w:pPr>
        <w:spacing w:before="0"/>
        <w:rPr>
          <w:rFonts w:cs="Arial"/>
          <w:szCs w:val="22"/>
          <w:lang w:eastAsia="en-US"/>
        </w:rPr>
      </w:pPr>
    </w:p>
    <w:p w14:paraId="5604EF96" w14:textId="77777777" w:rsidR="00030E04" w:rsidRPr="005669C0" w:rsidRDefault="005B6F21" w:rsidP="005669C0">
      <w:pPr>
        <w:pStyle w:val="berschrift2"/>
        <w:numPr>
          <w:ilvl w:val="0"/>
          <w:numId w:val="0"/>
        </w:numPr>
        <w:tabs>
          <w:tab w:val="clear" w:pos="567"/>
          <w:tab w:val="left" w:pos="0"/>
        </w:tabs>
        <w:spacing w:before="0"/>
        <w:rPr>
          <w:b w:val="0"/>
          <w:bCs w:val="0"/>
        </w:rPr>
      </w:pPr>
      <w:bookmarkStart w:id="20" w:name="_Anerkennung_und_Anrechnung"/>
      <w:bookmarkStart w:id="21" w:name="_Hlk23248015"/>
      <w:bookmarkStart w:id="22" w:name="_Toc190351694"/>
      <w:bookmarkEnd w:id="20"/>
      <w:r>
        <w:t xml:space="preserve">Anerkennung und </w:t>
      </w:r>
      <w:r w:rsidR="00D57236" w:rsidRPr="004253AC">
        <w:t xml:space="preserve">Anrechnung </w:t>
      </w:r>
      <w:r w:rsidR="00D57236" w:rsidRPr="00030E04">
        <w:t>(</w:t>
      </w:r>
      <w:r w:rsidR="00C82C9B" w:rsidRPr="00030E04">
        <w:t>Art.</w:t>
      </w:r>
      <w:r w:rsidR="00D57236" w:rsidRPr="00030E04">
        <w:t xml:space="preserve"> 2 Abs. 2 </w:t>
      </w:r>
      <w:proofErr w:type="spellStart"/>
      <w:r w:rsidR="00D57236" w:rsidRPr="00030E04">
        <w:t>StAkkrS</w:t>
      </w:r>
      <w:r w:rsidR="004253AC" w:rsidRPr="00030E04">
        <w:t>t</w:t>
      </w:r>
      <w:r w:rsidR="00D57236" w:rsidRPr="00030E04">
        <w:t>V</w:t>
      </w:r>
      <w:proofErr w:type="spellEnd"/>
      <w:r w:rsidR="00D57236" w:rsidRPr="00030E04">
        <w:t>)</w:t>
      </w:r>
      <w:bookmarkEnd w:id="22"/>
    </w:p>
    <w:bookmarkEnd w:id="21"/>
    <w:p w14:paraId="16682580" w14:textId="77777777" w:rsidR="004253AC" w:rsidRDefault="003336AB" w:rsidP="001C31ED">
      <w:pPr>
        <w:spacing w:before="0"/>
        <w:rPr>
          <w:rFonts w:cs="Arial"/>
          <w:b/>
          <w:color w:val="A71930"/>
          <w:szCs w:val="22"/>
        </w:rPr>
      </w:pPr>
      <w:r>
        <w:rPr>
          <w:rFonts w:cs="Arial"/>
          <w:b/>
          <w:color w:val="A71930"/>
          <w:szCs w:val="22"/>
        </w:rPr>
        <w:t>Sachstand</w:t>
      </w:r>
      <w:r w:rsidR="004253AC" w:rsidRPr="00457100">
        <w:rPr>
          <w:rFonts w:cs="Arial"/>
          <w:b/>
          <w:color w:val="A71930"/>
          <w:szCs w:val="22"/>
        </w:rPr>
        <w:t>/Bewertung</w:t>
      </w:r>
    </w:p>
    <w:p w14:paraId="34734CC2" w14:textId="77777777" w:rsidR="005669C0" w:rsidRDefault="005669C0" w:rsidP="005669C0">
      <w:pPr>
        <w:autoSpaceDE w:val="0"/>
        <w:autoSpaceDN w:val="0"/>
        <w:adjustRightInd w:val="0"/>
        <w:spacing w:before="0"/>
        <w:rPr>
          <w:rFonts w:cs="Arial"/>
          <w:szCs w:val="22"/>
        </w:rPr>
      </w:pPr>
      <w:r w:rsidRPr="001C3F33">
        <w:rPr>
          <w:szCs w:val="22"/>
        </w:rPr>
        <w:t>Die Anerkennung</w:t>
      </w:r>
      <w:r>
        <w:rPr>
          <w:szCs w:val="22"/>
        </w:rPr>
        <w:t>sregelungen</w:t>
      </w:r>
      <w:r w:rsidRPr="001C3F33">
        <w:rPr>
          <w:szCs w:val="22"/>
        </w:rPr>
        <w:t xml:space="preserve"> von Studien- und Prüfungsleistungen </w:t>
      </w:r>
      <w:r>
        <w:rPr>
          <w:szCs w:val="22"/>
        </w:rPr>
        <w:t>sind in § 22 der Allgemeinen Prüfungs- und Studienordnung für Bachelorstudiengänge als auch für Masterstudiengänge an der BTU Cottbus-Senftenberg verankert. Hier ist geregelt, dass „</w:t>
      </w:r>
      <w:r>
        <w:rPr>
          <w:rFonts w:cs="Arial"/>
          <w:szCs w:val="22"/>
        </w:rPr>
        <w:t>Leistungen aus früheren Studien</w:t>
      </w:r>
      <w:r>
        <w:rPr>
          <w:szCs w:val="22"/>
        </w:rPr>
        <w:t xml:space="preserve"> </w:t>
      </w:r>
      <w:r>
        <w:rPr>
          <w:rFonts w:cs="Arial"/>
          <w:szCs w:val="22"/>
        </w:rPr>
        <w:t>anzuerkennen [sind], sofern sie sich nicht wesentlich</w:t>
      </w:r>
      <w:r>
        <w:rPr>
          <w:szCs w:val="22"/>
        </w:rPr>
        <w:t xml:space="preserve"> </w:t>
      </w:r>
      <w:r>
        <w:rPr>
          <w:rFonts w:cs="Arial"/>
          <w:szCs w:val="22"/>
        </w:rPr>
        <w:t>von denen des gewählten Studiengangs</w:t>
      </w:r>
      <w:r>
        <w:rPr>
          <w:szCs w:val="22"/>
        </w:rPr>
        <w:t xml:space="preserve"> </w:t>
      </w:r>
      <w:r>
        <w:rPr>
          <w:rFonts w:cs="Arial"/>
          <w:szCs w:val="22"/>
        </w:rPr>
        <w:t>unterscheiden.“ Des Weiteren ist hier definiert, dass „a</w:t>
      </w:r>
      <w:r w:rsidRPr="00C8219C">
        <w:rPr>
          <w:rFonts w:cs="Arial"/>
          <w:szCs w:val="22"/>
        </w:rPr>
        <w:t>ußerhal</w:t>
      </w:r>
      <w:r>
        <w:rPr>
          <w:rFonts w:cs="Arial"/>
          <w:szCs w:val="22"/>
        </w:rPr>
        <w:t xml:space="preserve">b des Hochschulwesens erworbene </w:t>
      </w:r>
      <w:r w:rsidRPr="00C8219C">
        <w:rPr>
          <w:rFonts w:cs="Arial"/>
          <w:szCs w:val="22"/>
        </w:rPr>
        <w:t>Kenntni</w:t>
      </w:r>
      <w:r>
        <w:rPr>
          <w:rFonts w:cs="Arial"/>
          <w:szCs w:val="22"/>
        </w:rPr>
        <w:t xml:space="preserve">sse und Fähigkeiten bis zu </w:t>
      </w:r>
      <w:r w:rsidRPr="00C8219C">
        <w:rPr>
          <w:rFonts w:cs="Arial"/>
          <w:szCs w:val="22"/>
        </w:rPr>
        <w:t>50 Prozent auf ein Hochschulstudium anzurechnen</w:t>
      </w:r>
      <w:r>
        <w:rPr>
          <w:rFonts w:cs="Arial"/>
          <w:szCs w:val="22"/>
        </w:rPr>
        <w:t xml:space="preserve"> [sind], </w:t>
      </w:r>
      <w:r w:rsidRPr="00C8219C">
        <w:rPr>
          <w:rFonts w:cs="Arial"/>
          <w:szCs w:val="22"/>
        </w:rPr>
        <w:t>wenn</w:t>
      </w:r>
      <w:r>
        <w:rPr>
          <w:rFonts w:cs="Arial"/>
          <w:szCs w:val="22"/>
        </w:rPr>
        <w:t xml:space="preserve"> sie nach Inhalt und Niveau dem </w:t>
      </w:r>
      <w:r w:rsidRPr="00C8219C">
        <w:rPr>
          <w:rFonts w:cs="Arial"/>
          <w:szCs w:val="22"/>
        </w:rPr>
        <w:t>Teil des Studiums</w:t>
      </w:r>
      <w:r>
        <w:rPr>
          <w:rFonts w:cs="Arial"/>
          <w:szCs w:val="22"/>
        </w:rPr>
        <w:t xml:space="preserve"> gleichwertig sind, der ersetzt </w:t>
      </w:r>
      <w:r w:rsidRPr="00C8219C">
        <w:rPr>
          <w:rFonts w:cs="Arial"/>
          <w:szCs w:val="22"/>
        </w:rPr>
        <w:t>werden soll.</w:t>
      </w:r>
      <w:r>
        <w:rPr>
          <w:rFonts w:cs="Arial"/>
          <w:szCs w:val="22"/>
        </w:rPr>
        <w:t>“</w:t>
      </w:r>
    </w:p>
    <w:p w14:paraId="46547D3A" w14:textId="77777777" w:rsidR="005669C0" w:rsidRPr="00C8219C" w:rsidRDefault="005669C0" w:rsidP="005669C0">
      <w:pPr>
        <w:autoSpaceDE w:val="0"/>
        <w:autoSpaceDN w:val="0"/>
        <w:adjustRightInd w:val="0"/>
        <w:spacing w:before="0"/>
        <w:rPr>
          <w:rFonts w:cs="Arial"/>
          <w:szCs w:val="22"/>
        </w:rPr>
      </w:pPr>
      <w:r>
        <w:rPr>
          <w:rFonts w:cs="Arial"/>
          <w:szCs w:val="22"/>
        </w:rPr>
        <w:t>Bezüglich der Anrechnung von Leistungen, die innerhalb eines Auslandsaufenthalts erworben wurden, definiert die Hochschule, dass „Leistungen, die im Rahmen eines Auslandssemesters erbracht werden, anerkannt [werden], wenn die oder der Studierende sich die Anerkennungsfähigkeit in Form eines „Learning Agreements“ vor Antritt des Auslandssemesters durch den Prüfungsausschuss bestätigen lässt.“</w:t>
      </w:r>
    </w:p>
    <w:p w14:paraId="3254F03D" w14:textId="77777777" w:rsidR="00A656B0" w:rsidRPr="007B58D9" w:rsidRDefault="00A656B0" w:rsidP="00A656B0">
      <w:pPr>
        <w:spacing w:before="0" w:after="120" w:line="240" w:lineRule="auto"/>
        <w:rPr>
          <w:rFonts w:cs="Arial"/>
          <w:szCs w:val="22"/>
        </w:rPr>
      </w:pPr>
    </w:p>
    <w:p w14:paraId="7F9129A6" w14:textId="77777777" w:rsidR="00FE735A" w:rsidRPr="00FE735A" w:rsidRDefault="00FE735A" w:rsidP="00FE735A">
      <w:pPr>
        <w:pStyle w:val="Bewertung"/>
        <w:rPr>
          <w:rFonts w:ascii="Arial" w:hAnsi="Arial" w:cs="Arial"/>
          <w:i/>
          <w:sz w:val="22"/>
          <w:u w:val="single"/>
        </w:rPr>
      </w:pPr>
      <w:r w:rsidRPr="00FE735A">
        <w:rPr>
          <w:rFonts w:ascii="Arial" w:hAnsi="Arial" w:cs="Arial"/>
          <w:i/>
          <w:sz w:val="22"/>
          <w:u w:val="single"/>
        </w:rPr>
        <w:t>Ergänzung im Zuge der Stellungnahme der Hochschule</w:t>
      </w:r>
    </w:p>
    <w:p w14:paraId="7EF7CF2B" w14:textId="77777777" w:rsidR="00FE735A" w:rsidRDefault="00FE735A" w:rsidP="00FE735A">
      <w:pPr>
        <w:pStyle w:val="Bewertung"/>
        <w:rPr>
          <w:rFonts w:ascii="Arial" w:hAnsi="Arial" w:cs="Arial"/>
          <w:sz w:val="22"/>
        </w:rPr>
      </w:pPr>
      <w:r w:rsidRPr="00FE735A">
        <w:rPr>
          <w:rFonts w:ascii="Arial" w:hAnsi="Arial" w:cs="Arial"/>
          <w:sz w:val="22"/>
        </w:rPr>
        <w:t>[…]</w:t>
      </w:r>
    </w:p>
    <w:p w14:paraId="03D3AD38" w14:textId="77777777" w:rsidR="00FE735A" w:rsidRPr="00FE735A" w:rsidRDefault="00FE735A" w:rsidP="00FE735A">
      <w:pPr>
        <w:pStyle w:val="Bewertung"/>
        <w:rPr>
          <w:rFonts w:ascii="Arial" w:hAnsi="Arial" w:cs="Arial"/>
          <w:i/>
          <w:sz w:val="22"/>
          <w:u w:val="single"/>
        </w:rPr>
      </w:pPr>
      <w:r>
        <w:rPr>
          <w:rFonts w:ascii="Arial" w:hAnsi="Arial" w:cs="Arial"/>
          <w:i/>
          <w:sz w:val="22"/>
          <w:u w:val="single"/>
        </w:rPr>
        <w:t>Ergänzung in Zuge der Qualitätsverbesserungsschleife</w:t>
      </w:r>
    </w:p>
    <w:p w14:paraId="6AA8F5EA" w14:textId="77777777" w:rsidR="00FE735A" w:rsidRDefault="00FE735A" w:rsidP="00FE735A">
      <w:pPr>
        <w:pStyle w:val="Bewertung"/>
        <w:rPr>
          <w:rFonts w:ascii="Arial" w:hAnsi="Arial" w:cs="Arial"/>
          <w:sz w:val="22"/>
        </w:rPr>
      </w:pPr>
      <w:r w:rsidRPr="00FE735A">
        <w:rPr>
          <w:rFonts w:ascii="Arial" w:hAnsi="Arial" w:cs="Arial"/>
          <w:sz w:val="22"/>
        </w:rPr>
        <w:t>[…]</w:t>
      </w:r>
    </w:p>
    <w:p w14:paraId="6EEEF12A" w14:textId="77777777" w:rsidR="004253AC" w:rsidRPr="00457100" w:rsidRDefault="004253AC" w:rsidP="001C31ED">
      <w:pPr>
        <w:spacing w:before="0"/>
        <w:rPr>
          <w:rFonts w:cs="Arial"/>
          <w:color w:val="A71930"/>
          <w:szCs w:val="22"/>
        </w:rPr>
      </w:pPr>
      <w:r w:rsidRPr="00457100">
        <w:rPr>
          <w:rFonts w:cs="Arial"/>
          <w:b/>
          <w:color w:val="A71930"/>
          <w:szCs w:val="22"/>
        </w:rPr>
        <w:t>Entscheidungsvorschlag</w:t>
      </w:r>
    </w:p>
    <w:p w14:paraId="5FA6CC52" w14:textId="77777777" w:rsidR="004253AC" w:rsidRPr="00D057A6" w:rsidRDefault="005669C0" w:rsidP="005669C0">
      <w:pPr>
        <w:spacing w:before="0"/>
        <w:rPr>
          <w:rFonts w:cs="Arial"/>
          <w:i/>
          <w:szCs w:val="22"/>
        </w:rPr>
      </w:pPr>
      <w:r>
        <w:rPr>
          <w:rFonts w:cs="Arial"/>
          <w:szCs w:val="22"/>
        </w:rPr>
        <w:t>Kriterium ist erfüllt.</w:t>
      </w:r>
    </w:p>
    <w:p w14:paraId="1CF94D91" w14:textId="77777777" w:rsidR="00125CDE" w:rsidRPr="00125CDE" w:rsidRDefault="00125CDE" w:rsidP="001C31ED">
      <w:pPr>
        <w:spacing w:before="0"/>
        <w:rPr>
          <w:rFonts w:cs="Arial"/>
          <w:szCs w:val="22"/>
          <w:lang w:eastAsia="en-US"/>
        </w:rPr>
      </w:pPr>
    </w:p>
    <w:p w14:paraId="23217D1C" w14:textId="77777777" w:rsidR="002F1394" w:rsidRDefault="00C25B75" w:rsidP="00A67B62">
      <w:pPr>
        <w:pStyle w:val="berschrift2"/>
        <w:numPr>
          <w:ilvl w:val="0"/>
          <w:numId w:val="0"/>
        </w:numPr>
        <w:tabs>
          <w:tab w:val="clear" w:pos="567"/>
          <w:tab w:val="left" w:pos="0"/>
        </w:tabs>
        <w:rPr>
          <w:i/>
        </w:rPr>
      </w:pPr>
      <w:bookmarkStart w:id="23" w:name="_Besondere_Kriterien_für"/>
      <w:bookmarkStart w:id="24" w:name="KriterienKooperationen"/>
      <w:bookmarkStart w:id="25" w:name="_Toc190351695"/>
      <w:bookmarkEnd w:id="23"/>
      <w:r w:rsidRPr="002F1394">
        <w:t>Besondere Kriterien für Kooperationen mit nichthochschulischen E</w:t>
      </w:r>
      <w:r w:rsidR="00433814">
        <w:t>in</w:t>
      </w:r>
      <w:r w:rsidRPr="002F1394">
        <w:t>richtungen</w:t>
      </w:r>
      <w:r>
        <w:t xml:space="preserve"> </w:t>
      </w:r>
      <w:r w:rsidRPr="00030E04">
        <w:rPr>
          <w:rFonts w:cs="Times New Roman"/>
        </w:rPr>
        <w:t xml:space="preserve">(§ 9 </w:t>
      </w:r>
      <w:proofErr w:type="spellStart"/>
      <w:r w:rsidR="00BD500A">
        <w:rPr>
          <w:rFonts w:cs="Times New Roman"/>
        </w:rPr>
        <w:t>StudAkkV</w:t>
      </w:r>
      <w:proofErr w:type="spellEnd"/>
      <w:r w:rsidR="00D778A2" w:rsidRPr="00030E04">
        <w:rPr>
          <w:rFonts w:cs="Times New Roman"/>
        </w:rPr>
        <w:t>)</w:t>
      </w:r>
      <w:bookmarkEnd w:id="25"/>
    </w:p>
    <w:bookmarkEnd w:id="24"/>
    <w:p w14:paraId="56C94EF2" w14:textId="77777777" w:rsidR="00A26A8D" w:rsidRPr="00B61F67" w:rsidRDefault="00B61F67" w:rsidP="001C31ED">
      <w:pPr>
        <w:spacing w:before="0"/>
        <w:rPr>
          <w:rFonts w:cs="Arial"/>
          <w:i/>
          <w:szCs w:val="22"/>
          <w:lang w:eastAsia="en-US"/>
        </w:rPr>
      </w:pPr>
      <w:r w:rsidRPr="00B61F67">
        <w:rPr>
          <w:i/>
          <w:lang w:eastAsia="en-US"/>
        </w:rPr>
        <w:t>Nicht einschlägig.</w:t>
      </w:r>
    </w:p>
    <w:p w14:paraId="03E68777" w14:textId="77777777" w:rsidR="002F1394" w:rsidRDefault="00C25B75" w:rsidP="00A7278C">
      <w:pPr>
        <w:pStyle w:val="berschrift2"/>
        <w:numPr>
          <w:ilvl w:val="0"/>
          <w:numId w:val="0"/>
        </w:numPr>
        <w:ind w:left="567" w:hanging="567"/>
        <w:rPr>
          <w:i/>
        </w:rPr>
      </w:pPr>
      <w:bookmarkStart w:id="26" w:name="_Sonderregelungen_für_Joint-Degree-P"/>
      <w:bookmarkStart w:id="27" w:name="_Toc190351696"/>
      <w:bookmarkEnd w:id="26"/>
      <w:r w:rsidRPr="002F1394">
        <w:t>Sonderregelungen für Joint-</w:t>
      </w:r>
      <w:proofErr w:type="spellStart"/>
      <w:r w:rsidRPr="002F1394">
        <w:t>Degree</w:t>
      </w:r>
      <w:proofErr w:type="spellEnd"/>
      <w:r w:rsidRPr="002F1394">
        <w:t xml:space="preserve">-Programme </w:t>
      </w:r>
      <w:r w:rsidRPr="00030E04">
        <w:rPr>
          <w:rFonts w:cs="Times New Roman"/>
        </w:rPr>
        <w:t xml:space="preserve">(§ 10 </w:t>
      </w:r>
      <w:proofErr w:type="spellStart"/>
      <w:r w:rsidR="00BD500A">
        <w:rPr>
          <w:rFonts w:cs="Times New Roman"/>
        </w:rPr>
        <w:t>StudAkkV</w:t>
      </w:r>
      <w:proofErr w:type="spellEnd"/>
      <w:r w:rsidRPr="00030E04">
        <w:rPr>
          <w:rFonts w:cs="Times New Roman"/>
        </w:rPr>
        <w:t>)</w:t>
      </w:r>
      <w:bookmarkEnd w:id="27"/>
    </w:p>
    <w:p w14:paraId="3DE782C6" w14:textId="77777777" w:rsidR="00B61F67" w:rsidRPr="00B61F67" w:rsidRDefault="00B61F67" w:rsidP="00B61F67">
      <w:pPr>
        <w:spacing w:before="0"/>
        <w:rPr>
          <w:rFonts w:cs="Arial"/>
          <w:i/>
          <w:szCs w:val="22"/>
          <w:lang w:eastAsia="en-US"/>
        </w:rPr>
      </w:pPr>
      <w:r w:rsidRPr="00B61F67">
        <w:rPr>
          <w:i/>
          <w:lang w:eastAsia="en-US"/>
        </w:rPr>
        <w:t>Nicht einschlägig.</w:t>
      </w:r>
    </w:p>
    <w:p w14:paraId="7590B5A7" w14:textId="77777777" w:rsidR="004875D1" w:rsidRPr="00457100" w:rsidRDefault="004875D1" w:rsidP="001C31ED">
      <w:pPr>
        <w:spacing w:before="0"/>
        <w:jc w:val="left"/>
        <w:rPr>
          <w:rFonts w:cs="Arial"/>
          <w:b/>
          <w:bCs/>
          <w:szCs w:val="22"/>
          <w:lang w:eastAsia="en-US"/>
        </w:rPr>
      </w:pPr>
      <w:r w:rsidRPr="00457100">
        <w:rPr>
          <w:rFonts w:cs="Arial"/>
          <w:szCs w:val="22"/>
        </w:rPr>
        <w:br w:type="page"/>
      </w:r>
    </w:p>
    <w:p w14:paraId="4B95ABB2" w14:textId="77777777" w:rsidR="009C691A" w:rsidRPr="00457100" w:rsidRDefault="00091E5E" w:rsidP="007972B5">
      <w:pPr>
        <w:pStyle w:val="berschrift1"/>
        <w:spacing w:before="0"/>
        <w:rPr>
          <w:rFonts w:cs="Arial"/>
          <w:szCs w:val="22"/>
        </w:rPr>
      </w:pPr>
      <w:bookmarkStart w:id="28" w:name="_Toc190351697"/>
      <w:r w:rsidRPr="00457100">
        <w:rPr>
          <w:rFonts w:cs="Arial"/>
          <w:szCs w:val="22"/>
        </w:rPr>
        <w:lastRenderedPageBreak/>
        <w:t>Gutachten</w:t>
      </w:r>
      <w:r w:rsidR="00392FA9" w:rsidRPr="00457100">
        <w:rPr>
          <w:rFonts w:cs="Arial"/>
          <w:szCs w:val="22"/>
        </w:rPr>
        <w:t xml:space="preserve">: </w:t>
      </w:r>
      <w:r w:rsidR="005E027A" w:rsidRPr="00457100">
        <w:rPr>
          <w:rFonts w:cs="Arial"/>
          <w:szCs w:val="22"/>
        </w:rPr>
        <w:t>Erfüllung der fachlich-inhaltlichen Kriterien</w:t>
      </w:r>
      <w:bookmarkEnd w:id="28"/>
    </w:p>
    <w:p w14:paraId="47E8B863" w14:textId="77777777" w:rsidR="006E5F14" w:rsidRPr="00457100" w:rsidRDefault="006E5F14" w:rsidP="00FA3850">
      <w:pPr>
        <w:pStyle w:val="berschrift2"/>
      </w:pPr>
      <w:bookmarkStart w:id="29" w:name="_Toc508710876"/>
      <w:bookmarkStart w:id="30" w:name="_Toc190351698"/>
      <w:r w:rsidRPr="00457100">
        <w:t xml:space="preserve">Schwerpunkte der Bewertung </w:t>
      </w:r>
      <w:r w:rsidR="00980547" w:rsidRPr="00457100">
        <w:t>/</w:t>
      </w:r>
      <w:r w:rsidRPr="00457100">
        <w:t xml:space="preserve"> Fokus der Qualitätsentwicklung</w:t>
      </w:r>
      <w:bookmarkEnd w:id="29"/>
      <w:bookmarkEnd w:id="30"/>
    </w:p>
    <w:p w14:paraId="45F676F2" w14:textId="77777777" w:rsidR="00120578" w:rsidRDefault="00120578" w:rsidP="00120578">
      <w:pPr>
        <w:rPr>
          <w:lang w:eastAsia="en-US"/>
        </w:rPr>
      </w:pPr>
      <w:r w:rsidRPr="00120578">
        <w:rPr>
          <w:lang w:eastAsia="en-US"/>
        </w:rPr>
        <w:t xml:space="preserve">Der Masterstudiengang wird zum ersten Mal akkreditiert. Dementsprechend liegt der Schwerpunkt der Begutachtung auf dem </w:t>
      </w:r>
      <w:proofErr w:type="spellStart"/>
      <w:r w:rsidRPr="00120578">
        <w:rPr>
          <w:lang w:eastAsia="en-US"/>
        </w:rPr>
        <w:t>Studiengangskonzept</w:t>
      </w:r>
      <w:proofErr w:type="spellEnd"/>
      <w:r w:rsidRPr="00120578">
        <w:rPr>
          <w:lang w:eastAsia="en-US"/>
        </w:rPr>
        <w:t xml:space="preserve"> und der Strategie der </w:t>
      </w:r>
      <w:proofErr w:type="spellStart"/>
      <w:r w:rsidRPr="00120578">
        <w:rPr>
          <w:lang w:eastAsia="en-US"/>
        </w:rPr>
        <w:t>Studiengangsverantwortlichen</w:t>
      </w:r>
      <w:proofErr w:type="spellEnd"/>
      <w:r w:rsidRPr="00120578">
        <w:rPr>
          <w:lang w:eastAsia="en-US"/>
        </w:rPr>
        <w:t>, wie die unterschiedlichen Vorkenntnisse der Studienanfänger, die sich aus den relativ weit gefassten Zulassungsvoraussetzungen ergeben, angeglichen werden sollen, um allen Studierenden ein erfolgreiches</w:t>
      </w:r>
      <w:r>
        <w:rPr>
          <w:lang w:eastAsia="en-US"/>
        </w:rPr>
        <w:t xml:space="preserve"> Masterstudium zu ermöglichen.</w:t>
      </w:r>
      <w:r w:rsidRPr="00120578">
        <w:rPr>
          <w:lang w:eastAsia="en-US"/>
        </w:rPr>
        <w:t xml:space="preserve"> Da der Studiengang in englischer Sprache angeboten wird, weist die Hochschule darauf hin, dass </w:t>
      </w:r>
      <w:r w:rsidR="009C4F64">
        <w:rPr>
          <w:lang w:eastAsia="en-US"/>
        </w:rPr>
        <w:t xml:space="preserve">bisher </w:t>
      </w:r>
      <w:r w:rsidRPr="00120578">
        <w:rPr>
          <w:lang w:eastAsia="en-US"/>
        </w:rPr>
        <w:t xml:space="preserve">viele </w:t>
      </w:r>
      <w:proofErr w:type="spellStart"/>
      <w:proofErr w:type="gramStart"/>
      <w:r w:rsidRPr="00120578">
        <w:rPr>
          <w:lang w:eastAsia="en-US"/>
        </w:rPr>
        <w:t>Bewerber</w:t>
      </w:r>
      <w:r w:rsidR="009C4F64">
        <w:rPr>
          <w:lang w:eastAsia="en-US"/>
        </w:rPr>
        <w:t>:innen</w:t>
      </w:r>
      <w:proofErr w:type="spellEnd"/>
      <w:proofErr w:type="gramEnd"/>
      <w:r w:rsidRPr="00120578">
        <w:rPr>
          <w:lang w:eastAsia="en-US"/>
        </w:rPr>
        <w:t xml:space="preserve"> aus dem Ausland kommen. Im Rahmen des Audits diskutieren die Gutachter mit den Verantwortlichen ihre bisherigen Erfahrungen hinsichtlich des sehr hohen Anteils ausländischer Studierender, insbesondere im Zusammenhang mit der Anerkennung und Anrechnung von </w:t>
      </w:r>
      <w:r w:rsidR="009C4F64">
        <w:rPr>
          <w:lang w:eastAsia="en-US"/>
        </w:rPr>
        <w:t>Leistungen aus dem vorherigen Bachelorstudium</w:t>
      </w:r>
      <w:r w:rsidRPr="00120578">
        <w:rPr>
          <w:lang w:eastAsia="en-US"/>
        </w:rPr>
        <w:t>.</w:t>
      </w:r>
    </w:p>
    <w:p w14:paraId="1B3DF89C" w14:textId="77777777" w:rsidR="00120578" w:rsidRDefault="00120578" w:rsidP="00120578">
      <w:pPr>
        <w:spacing w:before="0"/>
        <w:rPr>
          <w:rFonts w:cs="Arial"/>
          <w:iCs/>
          <w:szCs w:val="22"/>
          <w:lang w:eastAsia="en-US"/>
        </w:rPr>
      </w:pPr>
    </w:p>
    <w:p w14:paraId="33773238" w14:textId="77777777" w:rsidR="002F409E" w:rsidRPr="00120578" w:rsidRDefault="002F409E" w:rsidP="00120578">
      <w:pPr>
        <w:spacing w:before="0"/>
        <w:rPr>
          <w:rFonts w:cs="Arial"/>
          <w:iCs/>
          <w:szCs w:val="22"/>
          <w:lang w:eastAsia="en-US"/>
        </w:rPr>
      </w:pPr>
      <w:r>
        <w:rPr>
          <w:highlight w:val="yellow"/>
        </w:rPr>
        <w:t>Im Zuge der Stellungnahme der Hochschule [und] der Qualitätsverbesserungsschleife sind Änderungen und Nachbesserungen im laufenden Verfahren erfolgt, die unter den zutreffenden Kriterien dargestellt werden.</w:t>
      </w:r>
    </w:p>
    <w:p w14:paraId="7ECE54FF" w14:textId="77777777" w:rsidR="00BF038E" w:rsidRDefault="00BF038E" w:rsidP="00BF038E">
      <w:pPr>
        <w:spacing w:before="0"/>
        <w:rPr>
          <w:rFonts w:cs="Arial"/>
          <w:iCs/>
          <w:szCs w:val="22"/>
          <w:lang w:eastAsia="en-US"/>
        </w:rPr>
      </w:pPr>
    </w:p>
    <w:p w14:paraId="4C9FC5DA" w14:textId="77777777" w:rsidR="006E5F14" w:rsidRDefault="006E5F14" w:rsidP="00FA3850">
      <w:pPr>
        <w:pStyle w:val="berschrift2"/>
      </w:pPr>
      <w:bookmarkStart w:id="31" w:name="_Toc190351699"/>
      <w:r w:rsidRPr="00457100">
        <w:t>Erf</w:t>
      </w:r>
      <w:r w:rsidR="00F9140D" w:rsidRPr="00457100">
        <w:t>ü</w:t>
      </w:r>
      <w:r w:rsidRPr="00457100">
        <w:t>llung der fachlich-inhaltlichen Kriterien</w:t>
      </w:r>
      <w:bookmarkEnd w:id="31"/>
    </w:p>
    <w:p w14:paraId="287628EB" w14:textId="77777777" w:rsidR="00175A2E" w:rsidRPr="00FD370C" w:rsidRDefault="00175A2E" w:rsidP="003F265D">
      <w:pPr>
        <w:spacing w:before="0" w:after="120"/>
        <w:ind w:left="567"/>
        <w:rPr>
          <w:rFonts w:cs="Arial"/>
          <w:i/>
          <w:sz w:val="18"/>
          <w:szCs w:val="18"/>
        </w:rPr>
      </w:pPr>
      <w:r w:rsidRPr="00FD370C">
        <w:rPr>
          <w:rFonts w:cs="Arial"/>
          <w:i/>
          <w:sz w:val="18"/>
          <w:szCs w:val="18"/>
        </w:rPr>
        <w:t xml:space="preserve">(gemäß Art. 3 Abs. 2 Satz 1 Nr. 4 </w:t>
      </w:r>
      <w:proofErr w:type="spellStart"/>
      <w:r w:rsidRPr="009D6FED">
        <w:rPr>
          <w:rFonts w:cs="Arial"/>
          <w:i/>
          <w:sz w:val="18"/>
          <w:szCs w:val="18"/>
        </w:rPr>
        <w:t>StAkkrStV</w:t>
      </w:r>
      <w:proofErr w:type="spellEnd"/>
      <w:r>
        <w:rPr>
          <w:rFonts w:cs="Arial"/>
          <w:i/>
          <w:sz w:val="18"/>
          <w:szCs w:val="18"/>
        </w:rPr>
        <w:t xml:space="preserve"> </w:t>
      </w:r>
      <w:r w:rsidRPr="00FD370C">
        <w:rPr>
          <w:rFonts w:cs="Arial"/>
          <w:i/>
          <w:sz w:val="18"/>
          <w:szCs w:val="18"/>
        </w:rPr>
        <w:t xml:space="preserve">i.V. mit Art. 4 Abs. 3 Satz 2a </w:t>
      </w:r>
      <w:proofErr w:type="spellStart"/>
      <w:r w:rsidRPr="009D6FED">
        <w:rPr>
          <w:rFonts w:cs="Arial"/>
          <w:i/>
          <w:sz w:val="18"/>
          <w:szCs w:val="18"/>
        </w:rPr>
        <w:t>StAkkrStV</w:t>
      </w:r>
      <w:proofErr w:type="spellEnd"/>
      <w:r>
        <w:rPr>
          <w:rFonts w:cs="Arial"/>
          <w:i/>
          <w:sz w:val="18"/>
          <w:szCs w:val="18"/>
        </w:rPr>
        <w:t xml:space="preserve"> </w:t>
      </w:r>
      <w:r w:rsidRPr="00FD370C">
        <w:rPr>
          <w:rFonts w:cs="Arial"/>
          <w:i/>
          <w:sz w:val="18"/>
          <w:szCs w:val="18"/>
        </w:rPr>
        <w:t xml:space="preserve">und §§ 11 bis 16; §§ 19-21 und § 24 Abs. 4 </w:t>
      </w:r>
      <w:proofErr w:type="spellStart"/>
      <w:r w:rsidR="00BD500A">
        <w:rPr>
          <w:rFonts w:cs="Arial"/>
          <w:i/>
          <w:sz w:val="18"/>
          <w:szCs w:val="18"/>
        </w:rPr>
        <w:t>StudAkkV</w:t>
      </w:r>
      <w:proofErr w:type="spellEnd"/>
      <w:r w:rsidRPr="00FD370C">
        <w:rPr>
          <w:rFonts w:cs="Arial"/>
          <w:i/>
          <w:sz w:val="18"/>
          <w:szCs w:val="18"/>
        </w:rPr>
        <w:t>)</w:t>
      </w:r>
    </w:p>
    <w:p w14:paraId="580C885A" w14:textId="77777777" w:rsidR="00030E04" w:rsidRPr="00466B67" w:rsidRDefault="00470B78" w:rsidP="00466B67">
      <w:pPr>
        <w:pStyle w:val="berschrift3"/>
        <w:numPr>
          <w:ilvl w:val="0"/>
          <w:numId w:val="0"/>
        </w:numPr>
        <w:spacing w:before="0"/>
        <w:ind w:left="567" w:hanging="567"/>
        <w:rPr>
          <w:b w:val="0"/>
          <w:bCs w:val="0"/>
        </w:rPr>
      </w:pPr>
      <w:bookmarkStart w:id="32" w:name="_Qualifikationsziele_und_Abschlussni"/>
      <w:bookmarkStart w:id="33" w:name="_Toc190351700"/>
      <w:bookmarkEnd w:id="32"/>
      <w:r w:rsidRPr="00457100">
        <w:t>Qualifikationsziele und Abschlussniveau</w:t>
      </w:r>
      <w:r w:rsidR="00B86E28" w:rsidRPr="00457100">
        <w:t xml:space="preserve"> </w:t>
      </w:r>
      <w:r w:rsidR="00B86E28" w:rsidRPr="00030E04">
        <w:t xml:space="preserve">(§ 11 </w:t>
      </w:r>
      <w:proofErr w:type="spellStart"/>
      <w:r w:rsidR="00BD500A">
        <w:t>StudAkkV</w:t>
      </w:r>
      <w:proofErr w:type="spellEnd"/>
      <w:r w:rsidR="00B86E28" w:rsidRPr="00030E04">
        <w:t>)</w:t>
      </w:r>
      <w:bookmarkEnd w:id="33"/>
    </w:p>
    <w:p w14:paraId="73D7BB62" w14:textId="77777777" w:rsidR="00384515" w:rsidRDefault="003336AB" w:rsidP="00384515">
      <w:pPr>
        <w:spacing w:before="0" w:after="120"/>
        <w:rPr>
          <w:rFonts w:cs="Arial"/>
          <w:b/>
          <w:color w:val="A71930"/>
          <w:szCs w:val="22"/>
        </w:rPr>
      </w:pPr>
      <w:r>
        <w:rPr>
          <w:rFonts w:cs="Arial"/>
          <w:b/>
          <w:color w:val="A71930"/>
          <w:szCs w:val="22"/>
        </w:rPr>
        <w:t>Sachstand</w:t>
      </w:r>
    </w:p>
    <w:p w14:paraId="363CA4E0" w14:textId="77777777" w:rsidR="0076605A" w:rsidRDefault="0076605A" w:rsidP="0076605A">
      <w:r w:rsidRPr="00BF4AFB">
        <w:t>Die Qualifikationsziele des Studieng</w:t>
      </w:r>
      <w:r>
        <w:t>angs sind im Diploma Supplement, im Selbstbericht, und in der studiengangspezifischen Studien- und Prüfungsordnung, welche in einer englischen Variante vorliegt, dar</w:t>
      </w:r>
      <w:r w:rsidRPr="00BF4AFB">
        <w:t>gelegt.</w:t>
      </w:r>
      <w:r>
        <w:t xml:space="preserve"> I</w:t>
      </w:r>
      <w:r w:rsidRPr="00BF4AFB">
        <w:t>m Modulhandbuch</w:t>
      </w:r>
      <w:r>
        <w:t xml:space="preserve"> sind zudem </w:t>
      </w:r>
      <w:r w:rsidRPr="00BF4AFB">
        <w:t>jedem einzelnen M</w:t>
      </w:r>
      <w:r>
        <w:t>odul spezifische Lernziele zuge</w:t>
      </w:r>
      <w:r w:rsidRPr="00BF4AFB">
        <w:t>ordnet</w:t>
      </w:r>
      <w:r>
        <w:t xml:space="preserve">. </w:t>
      </w:r>
    </w:p>
    <w:p w14:paraId="4F8DEC08" w14:textId="77777777" w:rsidR="0076605A" w:rsidRDefault="0076605A" w:rsidP="0076605A">
      <w:r>
        <w:t xml:space="preserve">Laut dem Diploma Supplement </w:t>
      </w:r>
      <w:r w:rsidRPr="001C2D20">
        <w:t>werden die folgenden Qualifikationsziele angestrebt</w:t>
      </w:r>
      <w:r>
        <w:t>:</w:t>
      </w:r>
    </w:p>
    <w:p w14:paraId="12A4D3C3" w14:textId="77777777" w:rsidR="0076605A" w:rsidRPr="0076605A" w:rsidRDefault="0076605A" w:rsidP="0076605A">
      <w:r>
        <w:t>„</w:t>
      </w:r>
      <w:r w:rsidRPr="0076605A">
        <w:t>Die Absolventinnen und Absolventen haben die fachlichen Qualifikat</w:t>
      </w:r>
      <w:r>
        <w:t xml:space="preserve">ionen erworben, Forschungs- und </w:t>
      </w:r>
      <w:r w:rsidRPr="0076605A">
        <w:t xml:space="preserve">Entwicklungsaufgaben auf dem Gebiet der Mikro- und Nanoelektronik </w:t>
      </w:r>
      <w:r>
        <w:t xml:space="preserve">erfolgreich durchzuführen. Dazu </w:t>
      </w:r>
      <w:r w:rsidRPr="0076605A">
        <w:t>gehören Halbleiterphysik und -Technologie, Schaltungs- und System</w:t>
      </w:r>
      <w:r>
        <w:t xml:space="preserve">entwurf sowie die dazugehörigen </w:t>
      </w:r>
      <w:r w:rsidRPr="0076605A">
        <w:t>Simulations- und Charakterisierungsmethoden. Sie verfügen dar</w:t>
      </w:r>
      <w:r>
        <w:t xml:space="preserve">über hinaus über Kenntnisse und </w:t>
      </w:r>
      <w:r w:rsidRPr="0076605A">
        <w:t>Fähigkeiten aus den angrenzenden Wissensgebieten der Physik und Elekt</w:t>
      </w:r>
      <w:r>
        <w:t xml:space="preserve">rotechnik und verfügen über ein </w:t>
      </w:r>
      <w:r w:rsidRPr="0076605A">
        <w:t xml:space="preserve">solides Fundament für die Arbeit in Wissenschaft </w:t>
      </w:r>
      <w:r w:rsidRPr="0076605A">
        <w:lastRenderedPageBreak/>
        <w:t xml:space="preserve">oder Forschung und </w:t>
      </w:r>
      <w:r>
        <w:t xml:space="preserve">Entwicklung. Absolventinnen und </w:t>
      </w:r>
      <w:r w:rsidRPr="0076605A">
        <w:t>Absolventen sind auch zur Arbeit in fachlich angrenzenden Gebi</w:t>
      </w:r>
      <w:r>
        <w:t xml:space="preserve">eten der Halbleitertechnologie, </w:t>
      </w:r>
      <w:r w:rsidRPr="0076605A">
        <w:t>Festkörperphysik oder Elektronik befähigt.</w:t>
      </w:r>
    </w:p>
    <w:p w14:paraId="585CA60C" w14:textId="77777777" w:rsidR="0076605A" w:rsidRPr="0076605A" w:rsidRDefault="0076605A" w:rsidP="0076605A">
      <w:r w:rsidRPr="0076605A">
        <w:t>Die Absolventinnen und Absolventen haben die Fähigkeit zur Anwendun</w:t>
      </w:r>
      <w:r>
        <w:t xml:space="preserve">g von Instrumenten und Methoden </w:t>
      </w:r>
      <w:r w:rsidRPr="0076605A">
        <w:t>des Fachgebiets und zur kritischen Einordnung wissenschaftlicher Erkenn</w:t>
      </w:r>
      <w:r>
        <w:t xml:space="preserve">tnisse erworben. Diese umfassen </w:t>
      </w:r>
      <w:r w:rsidRPr="0076605A">
        <w:t>Kenntnisse der mathematischen, naturwissenschaftlichen und t</w:t>
      </w:r>
      <w:r>
        <w:t xml:space="preserve">echnischen Zusammenhänge, sowie </w:t>
      </w:r>
      <w:r w:rsidRPr="0076605A">
        <w:t>Methoden und Lösungsansätze für mikro- und nanoelektronische Frage</w:t>
      </w:r>
      <w:r>
        <w:t xml:space="preserve">stellungen. Sie haben nicht nur </w:t>
      </w:r>
      <w:r w:rsidRPr="0076605A">
        <w:t>fundierte Kenntnisse in den für das Fach relevanten Bereichen erlangt, s</w:t>
      </w:r>
      <w:r>
        <w:t xml:space="preserve">ondern sind auch dazu befähigt, </w:t>
      </w:r>
      <w:r w:rsidRPr="0076605A">
        <w:t>flexibel auf zukünftige Anforderungen reagieren zu können.</w:t>
      </w:r>
    </w:p>
    <w:p w14:paraId="755AFBC3" w14:textId="77777777" w:rsidR="00384515" w:rsidRPr="007B58D9" w:rsidRDefault="0076605A" w:rsidP="0076605A">
      <w:r w:rsidRPr="0076605A">
        <w:t>Absolventinnen und Absolventen sind zur Planung, Leitung und Durchfüh</w:t>
      </w:r>
      <w:r>
        <w:t xml:space="preserve">rung von Forschungsprojekten in </w:t>
      </w:r>
      <w:r w:rsidRPr="0076605A">
        <w:t>Wissenschaft und Wirtschaft und befähigt und zu verantwortlichem Handeln in</w:t>
      </w:r>
      <w:r>
        <w:t xml:space="preserve"> der Berufspraxis qualifiziert. </w:t>
      </w:r>
      <w:r w:rsidRPr="0076605A">
        <w:t>Weiterhin haben die Absolventinnen und Absolventen die Fähigkeit erw</w:t>
      </w:r>
      <w:r>
        <w:t xml:space="preserve">orben, Voraussetzungen, Grenzen </w:t>
      </w:r>
      <w:r w:rsidRPr="0076605A">
        <w:t>und Auswirkungen der Anwendung physikalischer und ingenieurwissen</w:t>
      </w:r>
      <w:r>
        <w:t xml:space="preserve">schaftlicher Lösungsansätze auf </w:t>
      </w:r>
      <w:r w:rsidRPr="0076605A">
        <w:t>gesellschaftsrelevante Probleme kritisch zu hinterfragen.</w:t>
      </w:r>
      <w:r>
        <w:t>“</w:t>
      </w:r>
    </w:p>
    <w:p w14:paraId="3E796D23" w14:textId="77777777" w:rsidR="00384515" w:rsidRDefault="00384515" w:rsidP="00384515">
      <w:pPr>
        <w:spacing w:before="0" w:after="120" w:line="240" w:lineRule="auto"/>
        <w:rPr>
          <w:rFonts w:cs="Arial"/>
          <w:b/>
          <w:color w:val="A71930"/>
          <w:szCs w:val="22"/>
        </w:rPr>
      </w:pPr>
      <w:r w:rsidRPr="00457100">
        <w:rPr>
          <w:rFonts w:cs="Arial"/>
          <w:b/>
          <w:color w:val="A71930"/>
          <w:szCs w:val="22"/>
        </w:rPr>
        <w:t>Bewertung: Stärken und Entwicklungsbedarf</w:t>
      </w:r>
    </w:p>
    <w:p w14:paraId="535CB6F3" w14:textId="77777777" w:rsidR="0076605A" w:rsidRDefault="0076605A" w:rsidP="0076605A">
      <w:pPr>
        <w:spacing w:before="0" w:after="120"/>
        <w:rPr>
          <w:rFonts w:cs="Arial"/>
          <w:szCs w:val="22"/>
        </w:rPr>
      </w:pPr>
      <w:r>
        <w:rPr>
          <w:rFonts w:cs="Arial"/>
          <w:szCs w:val="22"/>
        </w:rPr>
        <w:t xml:space="preserve">Die </w:t>
      </w:r>
      <w:proofErr w:type="spellStart"/>
      <w:proofErr w:type="gramStart"/>
      <w:r>
        <w:rPr>
          <w:rFonts w:cs="Arial"/>
          <w:szCs w:val="22"/>
        </w:rPr>
        <w:t>Gutachter:innen</w:t>
      </w:r>
      <w:proofErr w:type="spellEnd"/>
      <w:proofErr w:type="gramEnd"/>
      <w:r>
        <w:rPr>
          <w:rFonts w:cs="Arial"/>
          <w:szCs w:val="22"/>
        </w:rPr>
        <w:t xml:space="preserve"> sind der Ansicht,</w:t>
      </w:r>
      <w:r w:rsidR="00D475D1">
        <w:rPr>
          <w:rFonts w:cs="Arial"/>
          <w:szCs w:val="22"/>
        </w:rPr>
        <w:t xml:space="preserve"> </w:t>
      </w:r>
      <w:r>
        <w:rPr>
          <w:rFonts w:cs="Arial"/>
          <w:szCs w:val="22"/>
        </w:rPr>
        <w:t xml:space="preserve">dass die verankerten und veröffentlichten Qualifikations- und Lernziele des Studiengangs detailliert und adäquat die von den Studierenden zu erwerbenden fachlichen, wissenschaftlichen, berufsbefähigenden und persönlichkeitsbildenden Kompetenzen und Fähigkeiten beschreiben. </w:t>
      </w:r>
      <w:r w:rsidRPr="0076605A">
        <w:rPr>
          <w:rFonts w:cs="Arial"/>
          <w:szCs w:val="22"/>
        </w:rPr>
        <w:t>Sie weisen auch darauf hin, dass die einzelnen Modulziele mit den Programmzielen korrelieren und zu deren Erreichung beitragen.</w:t>
      </w:r>
    </w:p>
    <w:p w14:paraId="26E35CF3" w14:textId="77777777" w:rsidR="00D475D1" w:rsidRDefault="0076605A" w:rsidP="0076605A">
      <w:pPr>
        <w:spacing w:before="0" w:after="120"/>
        <w:rPr>
          <w:rFonts w:cs="Arial"/>
          <w:szCs w:val="22"/>
        </w:rPr>
      </w:pPr>
      <w:r w:rsidRPr="00A746C0">
        <w:rPr>
          <w:rFonts w:cs="Arial"/>
          <w:szCs w:val="22"/>
        </w:rPr>
        <w:t xml:space="preserve">Die </w:t>
      </w:r>
      <w:proofErr w:type="spellStart"/>
      <w:proofErr w:type="gramStart"/>
      <w:r w:rsidRPr="00A746C0">
        <w:rPr>
          <w:rFonts w:cs="Arial"/>
          <w:szCs w:val="22"/>
        </w:rPr>
        <w:t>Gutachter:innen</w:t>
      </w:r>
      <w:proofErr w:type="spellEnd"/>
      <w:proofErr w:type="gramEnd"/>
      <w:r w:rsidRPr="00A746C0">
        <w:rPr>
          <w:rFonts w:cs="Arial"/>
          <w:szCs w:val="22"/>
        </w:rPr>
        <w:t xml:space="preserve"> stellen </w:t>
      </w:r>
      <w:r>
        <w:rPr>
          <w:rFonts w:cs="Arial"/>
          <w:szCs w:val="22"/>
        </w:rPr>
        <w:t>des Weiteren</w:t>
      </w:r>
      <w:r w:rsidRPr="00A746C0">
        <w:rPr>
          <w:rFonts w:cs="Arial"/>
          <w:szCs w:val="22"/>
        </w:rPr>
        <w:t xml:space="preserve"> fest, dass diese Fachkenntnisse, Fertigkeiten und Kompetenzen eindeutig der Stufe 7 des Europäischen Qualifikationsrahmens entsprechen und daher dem angestrebten Abschlussniveau angemessen sind. Darüber hinaus stellen persönlichkeitsbildende Aspekte, die das Bewusstsein für aktuelle gesellschaftliche Debatten stärken, zentrale Aspekte des Studiums dar. </w:t>
      </w:r>
      <w:r w:rsidR="00D475D1">
        <w:rPr>
          <w:rFonts w:cs="Arial"/>
          <w:szCs w:val="22"/>
        </w:rPr>
        <w:t xml:space="preserve">Sie begrüßen, dass Studierende auch ethische Fragen und </w:t>
      </w:r>
      <w:r w:rsidR="00D475D1" w:rsidRPr="00D475D1">
        <w:rPr>
          <w:rFonts w:cs="Arial"/>
          <w:szCs w:val="22"/>
        </w:rPr>
        <w:t>gesellschaftliche Konsequenzen</w:t>
      </w:r>
      <w:r w:rsidR="00D475D1">
        <w:rPr>
          <w:rFonts w:cs="Arial"/>
          <w:szCs w:val="22"/>
        </w:rPr>
        <w:t xml:space="preserve"> von verschiedenen Technologien wie z.B. von Künstlicher Intelligenz im Rahmen des Moduls „</w:t>
      </w:r>
      <w:r w:rsidR="00D475D1" w:rsidRPr="00D475D1">
        <w:rPr>
          <w:rFonts w:cs="Arial"/>
          <w:szCs w:val="22"/>
        </w:rPr>
        <w:t>Brain-Computer Interfaces (BCIs) for Neuroadaptive Technology</w:t>
      </w:r>
      <w:r w:rsidR="00D475D1">
        <w:rPr>
          <w:rFonts w:cs="Arial"/>
          <w:szCs w:val="22"/>
        </w:rPr>
        <w:t xml:space="preserve">“ diskutieren. Durch verschiedene </w:t>
      </w:r>
      <w:r w:rsidRPr="00A746C0">
        <w:rPr>
          <w:rFonts w:cs="Arial"/>
          <w:szCs w:val="22"/>
        </w:rPr>
        <w:t>Projekt- und Gruppenarbeit</w:t>
      </w:r>
      <w:r w:rsidR="00D475D1">
        <w:rPr>
          <w:rFonts w:cs="Arial"/>
          <w:szCs w:val="22"/>
        </w:rPr>
        <w:t>en</w:t>
      </w:r>
      <w:r w:rsidRPr="00A746C0">
        <w:rPr>
          <w:rFonts w:cs="Arial"/>
          <w:szCs w:val="22"/>
        </w:rPr>
        <w:t xml:space="preserve"> werden zudem die Team- und Kommunikationsfähigkeit der Studierenden intensiv gefördert. </w:t>
      </w:r>
    </w:p>
    <w:p w14:paraId="7B71937E" w14:textId="77777777" w:rsidR="0076605A" w:rsidRPr="00457100" w:rsidRDefault="00466B67" w:rsidP="00384515">
      <w:pPr>
        <w:spacing w:before="0" w:after="120"/>
        <w:rPr>
          <w:rFonts w:cs="Arial"/>
          <w:szCs w:val="22"/>
        </w:rPr>
      </w:pPr>
      <w:r w:rsidRPr="00466B67">
        <w:rPr>
          <w:rFonts w:cs="Arial"/>
          <w:szCs w:val="22"/>
        </w:rPr>
        <w:t xml:space="preserve">Insgesamt sind die </w:t>
      </w:r>
      <w:proofErr w:type="spellStart"/>
      <w:proofErr w:type="gramStart"/>
      <w:r w:rsidRPr="00466B67">
        <w:rPr>
          <w:rFonts w:cs="Arial"/>
          <w:szCs w:val="22"/>
        </w:rPr>
        <w:t>Gutachter:innen</w:t>
      </w:r>
      <w:proofErr w:type="spellEnd"/>
      <w:proofErr w:type="gramEnd"/>
      <w:r w:rsidRPr="00466B67">
        <w:rPr>
          <w:rFonts w:cs="Arial"/>
          <w:szCs w:val="22"/>
        </w:rPr>
        <w:t xml:space="preserve"> davon überzeugt, dass der Studiengang die </w:t>
      </w:r>
      <w:proofErr w:type="spellStart"/>
      <w:r w:rsidRPr="00466B67">
        <w:rPr>
          <w:rFonts w:cs="Arial"/>
          <w:szCs w:val="22"/>
        </w:rPr>
        <w:t>Absolvent:innen</w:t>
      </w:r>
      <w:proofErr w:type="spellEnd"/>
      <w:r w:rsidRPr="00466B67">
        <w:rPr>
          <w:rFonts w:cs="Arial"/>
          <w:szCs w:val="22"/>
        </w:rPr>
        <w:t xml:space="preserve"> mit einem stark nachgefragten Qualifikationsprofil ausstattet, das sie befähigt, leitende Funktionen in der Halbleiterindustrie bzw. Technologieentwicklung zu übernehmen.</w:t>
      </w:r>
    </w:p>
    <w:p w14:paraId="4F3431F9" w14:textId="77777777" w:rsidR="00384515" w:rsidRPr="007B58D9" w:rsidRDefault="00384515" w:rsidP="00384515">
      <w:pPr>
        <w:spacing w:before="0" w:after="120" w:line="240" w:lineRule="auto"/>
        <w:rPr>
          <w:rFonts w:cs="Arial"/>
          <w:szCs w:val="22"/>
        </w:rPr>
      </w:pPr>
    </w:p>
    <w:p w14:paraId="206DF833" w14:textId="77777777" w:rsidR="00FE735A" w:rsidRPr="00FE735A" w:rsidRDefault="00FE735A" w:rsidP="00FE735A">
      <w:pPr>
        <w:pStyle w:val="Bewertung"/>
        <w:rPr>
          <w:rFonts w:ascii="Arial" w:hAnsi="Arial" w:cs="Arial"/>
          <w:i/>
          <w:sz w:val="22"/>
          <w:u w:val="single"/>
        </w:rPr>
      </w:pPr>
      <w:r w:rsidRPr="00FE735A">
        <w:rPr>
          <w:rFonts w:ascii="Arial" w:hAnsi="Arial" w:cs="Arial"/>
          <w:i/>
          <w:sz w:val="22"/>
          <w:u w:val="single"/>
        </w:rPr>
        <w:lastRenderedPageBreak/>
        <w:t>Ergänzung im Zuge der Stellungnahme der Hochschule</w:t>
      </w:r>
    </w:p>
    <w:p w14:paraId="35D76EBB" w14:textId="77777777" w:rsidR="00466B67" w:rsidRDefault="00FE735A" w:rsidP="00FE735A">
      <w:pPr>
        <w:pStyle w:val="Bewertung"/>
        <w:rPr>
          <w:rFonts w:ascii="Arial" w:hAnsi="Arial" w:cs="Arial"/>
          <w:sz w:val="22"/>
        </w:rPr>
      </w:pPr>
      <w:r w:rsidRPr="00FE735A">
        <w:rPr>
          <w:rFonts w:ascii="Arial" w:hAnsi="Arial" w:cs="Arial"/>
          <w:sz w:val="22"/>
        </w:rPr>
        <w:t>[…]</w:t>
      </w:r>
    </w:p>
    <w:p w14:paraId="24BFCA3C" w14:textId="77777777" w:rsidR="00FE735A" w:rsidRPr="00466B67" w:rsidRDefault="00FE735A" w:rsidP="00FE735A">
      <w:pPr>
        <w:pStyle w:val="Bewertung"/>
        <w:rPr>
          <w:rFonts w:ascii="Arial" w:hAnsi="Arial" w:cs="Arial"/>
          <w:sz w:val="22"/>
        </w:rPr>
      </w:pPr>
      <w:r>
        <w:rPr>
          <w:rFonts w:ascii="Arial" w:hAnsi="Arial" w:cs="Arial"/>
          <w:i/>
          <w:sz w:val="22"/>
          <w:u w:val="single"/>
        </w:rPr>
        <w:t>Ergänzung in Zuge der Qualitätsverbesserungsschleife</w:t>
      </w:r>
    </w:p>
    <w:p w14:paraId="6CBE3284" w14:textId="77777777" w:rsidR="00FE735A" w:rsidRDefault="00FE735A" w:rsidP="00FE735A">
      <w:pPr>
        <w:pStyle w:val="Bewertung"/>
        <w:rPr>
          <w:rFonts w:ascii="Arial" w:hAnsi="Arial" w:cs="Arial"/>
          <w:sz w:val="22"/>
        </w:rPr>
      </w:pPr>
      <w:r w:rsidRPr="00FE735A">
        <w:rPr>
          <w:rFonts w:ascii="Arial" w:hAnsi="Arial" w:cs="Arial"/>
          <w:sz w:val="22"/>
        </w:rPr>
        <w:t>[…]</w:t>
      </w:r>
    </w:p>
    <w:p w14:paraId="57A4E02C" w14:textId="77777777" w:rsidR="003C6149" w:rsidRPr="00457100" w:rsidRDefault="003C6149" w:rsidP="00B903DB">
      <w:pPr>
        <w:spacing w:before="0"/>
        <w:rPr>
          <w:rFonts w:cs="Arial"/>
          <w:color w:val="A71930"/>
          <w:szCs w:val="22"/>
        </w:rPr>
      </w:pPr>
      <w:r w:rsidRPr="00457100">
        <w:rPr>
          <w:rFonts w:cs="Arial"/>
          <w:b/>
          <w:color w:val="A71930"/>
          <w:szCs w:val="22"/>
        </w:rPr>
        <w:t>Entscheidungsvorschla</w:t>
      </w:r>
      <w:r w:rsidR="00F723CB">
        <w:rPr>
          <w:rFonts w:cs="Arial"/>
          <w:b/>
          <w:color w:val="A71930"/>
          <w:szCs w:val="22"/>
        </w:rPr>
        <w:t>g</w:t>
      </w:r>
    </w:p>
    <w:p w14:paraId="6B38D950" w14:textId="77777777" w:rsidR="003C6149" w:rsidRPr="00FD370C" w:rsidRDefault="00B86E28" w:rsidP="00466B67">
      <w:pPr>
        <w:spacing w:before="0"/>
        <w:rPr>
          <w:rFonts w:cs="Arial"/>
          <w:szCs w:val="22"/>
        </w:rPr>
      </w:pPr>
      <w:r w:rsidRPr="00FD370C">
        <w:rPr>
          <w:rFonts w:cs="Arial"/>
          <w:szCs w:val="22"/>
        </w:rPr>
        <w:t>E</w:t>
      </w:r>
      <w:r w:rsidR="003C6149" w:rsidRPr="00FD370C">
        <w:rPr>
          <w:rFonts w:cs="Arial"/>
          <w:szCs w:val="22"/>
        </w:rPr>
        <w:t>rfüllt</w:t>
      </w:r>
      <w:r w:rsidR="00466B67">
        <w:rPr>
          <w:rFonts w:cs="Arial"/>
          <w:szCs w:val="22"/>
        </w:rPr>
        <w:t>.</w:t>
      </w:r>
    </w:p>
    <w:p w14:paraId="7EF5D063" w14:textId="77777777" w:rsidR="00B71BDC" w:rsidRPr="00457100" w:rsidRDefault="00B71BDC" w:rsidP="00B903DB">
      <w:pPr>
        <w:spacing w:before="0"/>
        <w:rPr>
          <w:rFonts w:cs="Arial"/>
          <w:szCs w:val="22"/>
          <w:lang w:eastAsia="en-US"/>
        </w:rPr>
      </w:pPr>
    </w:p>
    <w:p w14:paraId="37486FC2" w14:textId="77777777" w:rsidR="00091E5E" w:rsidRDefault="00290DA5" w:rsidP="00B903DB">
      <w:pPr>
        <w:pStyle w:val="berschrift3"/>
        <w:numPr>
          <w:ilvl w:val="0"/>
          <w:numId w:val="0"/>
        </w:numPr>
        <w:spacing w:before="0" w:after="120"/>
        <w:ind w:left="567" w:hanging="567"/>
      </w:pPr>
      <w:bookmarkStart w:id="34" w:name="_Schlüssiges_Studiengangskonzept_und"/>
      <w:bookmarkStart w:id="35" w:name="_Toc190351701"/>
      <w:bookmarkEnd w:id="34"/>
      <w:r w:rsidRPr="00457100">
        <w:t xml:space="preserve">Schlüssiges </w:t>
      </w:r>
      <w:proofErr w:type="spellStart"/>
      <w:r w:rsidRPr="00457100">
        <w:t>Studiengangskonzept</w:t>
      </w:r>
      <w:proofErr w:type="spellEnd"/>
      <w:r w:rsidRPr="00457100">
        <w:t xml:space="preserve"> und adäquate Umsetzung</w:t>
      </w:r>
      <w:r w:rsidR="00856902" w:rsidRPr="00457100">
        <w:t xml:space="preserve"> (§ 12 </w:t>
      </w:r>
      <w:proofErr w:type="spellStart"/>
      <w:r w:rsidR="00BD500A">
        <w:t>StudAkkV</w:t>
      </w:r>
      <w:proofErr w:type="spellEnd"/>
      <w:r w:rsidR="00856902" w:rsidRPr="00457100">
        <w:t>)</w:t>
      </w:r>
      <w:bookmarkEnd w:id="35"/>
    </w:p>
    <w:p w14:paraId="4848566F" w14:textId="02E08369" w:rsidR="00D0159E" w:rsidRPr="00D0159E" w:rsidRDefault="00E0660C" w:rsidP="001251B2">
      <w:pPr>
        <w:pStyle w:val="berschrift4"/>
        <w:spacing w:before="0"/>
      </w:pPr>
      <w:bookmarkStart w:id="36" w:name="_Toc190351702"/>
      <w:r w:rsidRPr="00E0660C">
        <w:t>Curriculum</w:t>
      </w:r>
      <w:r w:rsidR="000C6383">
        <w:t xml:space="preserve"> </w:t>
      </w:r>
      <w:r w:rsidR="000C6383" w:rsidRPr="00D0159E">
        <w:t>(</w:t>
      </w:r>
      <w:r w:rsidR="000C6383" w:rsidRPr="00D0159E">
        <w:rPr>
          <w:rFonts w:cs="Arial"/>
        </w:rPr>
        <w:t xml:space="preserve">§ 12 Abs. 1 Sätze 1 bis 3 und 5 </w:t>
      </w:r>
      <w:proofErr w:type="spellStart"/>
      <w:r w:rsidR="00BD500A">
        <w:rPr>
          <w:rFonts w:cs="Arial"/>
        </w:rPr>
        <w:t>StudAkkV</w:t>
      </w:r>
      <w:proofErr w:type="spellEnd"/>
      <w:r w:rsidR="000C6383" w:rsidRPr="00D0159E">
        <w:rPr>
          <w:rFonts w:cs="Arial"/>
        </w:rPr>
        <w:t>)</w:t>
      </w:r>
      <w:bookmarkEnd w:id="36"/>
    </w:p>
    <w:p w14:paraId="1A28C3FB" w14:textId="77777777" w:rsidR="00F723CB" w:rsidRPr="00FD370C" w:rsidRDefault="003336AB" w:rsidP="00B903DB">
      <w:pPr>
        <w:spacing w:before="0"/>
        <w:rPr>
          <w:rFonts w:cs="Arial"/>
          <w:i/>
          <w:szCs w:val="22"/>
        </w:rPr>
      </w:pPr>
      <w:r>
        <w:rPr>
          <w:rFonts w:cs="Arial"/>
          <w:b/>
          <w:color w:val="A71930"/>
          <w:szCs w:val="22"/>
        </w:rPr>
        <w:t>Sachstand</w:t>
      </w:r>
    </w:p>
    <w:p w14:paraId="28F33DFD" w14:textId="77777777" w:rsidR="009E2E78" w:rsidRPr="009E2E78" w:rsidRDefault="009E2E78" w:rsidP="009E2E78">
      <w:pPr>
        <w:spacing w:before="0" w:after="120" w:line="240" w:lineRule="auto"/>
        <w:rPr>
          <w:rFonts w:cs="Arial"/>
          <w:szCs w:val="22"/>
          <w:u w:val="single"/>
        </w:rPr>
      </w:pPr>
      <w:r w:rsidRPr="009E2E78">
        <w:rPr>
          <w:rFonts w:cs="Arial"/>
          <w:szCs w:val="22"/>
          <w:u w:val="single"/>
        </w:rPr>
        <w:t>Curriculum</w:t>
      </w:r>
    </w:p>
    <w:p w14:paraId="169DE988" w14:textId="77777777" w:rsidR="00752B9D" w:rsidRPr="00752B9D" w:rsidRDefault="00752B9D" w:rsidP="00752B9D">
      <w:pPr>
        <w:rPr>
          <w:sz w:val="24"/>
        </w:rPr>
      </w:pPr>
      <w:r>
        <w:t>Laut dem Selbstbericht wurde d</w:t>
      </w:r>
      <w:r w:rsidRPr="00752B9D">
        <w:t>er Masterstudiengang in enger Kooperation zwischen den Instituten für Physik sowie Elektrotechnik und Informationstechnik und den beteiligten außeruniversitären Forschungsinstituten entwickelt. Die Leitung des Studiengangs übernehmen jeweils ein Vertreter und eine Vertreterin der beiden Institute.</w:t>
      </w:r>
    </w:p>
    <w:p w14:paraId="4314B8FC" w14:textId="77777777" w:rsidR="00752B9D" w:rsidRPr="00752B9D" w:rsidRDefault="00752B9D" w:rsidP="00752B9D">
      <w:r w:rsidRPr="00752B9D">
        <w:t>Die Forschungsschwerpunkte umfassen die Halbleiter-Material- und Bauelementforschung sowie die Entwicklung von Schaltungen und elektronischen Systemen. Dabei liegt der Fokus auf der Identifikation und Charakterisierung neuer Materialien für zukunftsweisende Mikro- und Nanotechnologien auf Silizium- und III-V-Basis. Ebenso werden innovative Halbleiterbauelemente, insbesondere integrierte Sensoren und Aktoren, entwickelt und charakterisiert, wobei neue Materialien und physikalische Konzepte zum Einsatz kommen. Ein weiteres zentrales Forschungsfeld ist die spektroskopische Analyse von Grenzflächen und Nanostrukturen.</w:t>
      </w:r>
    </w:p>
    <w:p w14:paraId="0D096654" w14:textId="77777777" w:rsidR="00752B9D" w:rsidRPr="00752B9D" w:rsidRDefault="00752B9D" w:rsidP="00752B9D">
      <w:pPr>
        <w:rPr>
          <w:rFonts w:cs="Arial"/>
          <w:szCs w:val="22"/>
          <w:lang w:eastAsia="en-US"/>
        </w:rPr>
      </w:pPr>
      <w:r w:rsidRPr="00752B9D">
        <w:t xml:space="preserve">Der viersemestrige Masterstudiengang Micro- </w:t>
      </w:r>
      <w:proofErr w:type="spellStart"/>
      <w:r w:rsidRPr="00752B9D">
        <w:t>and</w:t>
      </w:r>
      <w:proofErr w:type="spellEnd"/>
      <w:r w:rsidRPr="00752B9D">
        <w:t xml:space="preserve"> </w:t>
      </w:r>
      <w:proofErr w:type="spellStart"/>
      <w:r w:rsidRPr="00752B9D">
        <w:t>Nanoelectronics</w:t>
      </w:r>
      <w:proofErr w:type="spellEnd"/>
      <w:r w:rsidRPr="00752B9D">
        <w:t xml:space="preserve"> </w:t>
      </w:r>
      <w:r w:rsidR="00DE263A">
        <w:t xml:space="preserve">wurde so konzipiert, dass er sich </w:t>
      </w:r>
      <w:r w:rsidRPr="00752B9D">
        <w:t xml:space="preserve">an </w:t>
      </w:r>
      <w:proofErr w:type="spellStart"/>
      <w:proofErr w:type="gramStart"/>
      <w:r w:rsidRPr="00752B9D">
        <w:t>Absolvent:innen</w:t>
      </w:r>
      <w:proofErr w:type="spellEnd"/>
      <w:proofErr w:type="gramEnd"/>
      <w:r w:rsidRPr="00752B9D">
        <w:t xml:space="preserve"> mit einem Bachelorabschluss in Physik oder Elektrotechnik/Informationstechnik</w:t>
      </w:r>
      <w:r w:rsidR="00DE263A">
        <w:t xml:space="preserve"> richtet</w:t>
      </w:r>
      <w:r w:rsidRPr="00752B9D">
        <w:t>. Um die unterschiedlichen fachlichen Vorkenntnisse entsprechend auszugleichen, sind im ersten Semester verpflichtende Grundlagenmodule vorgesehen. So belegen Studierende mit elektrotechnischem Hintergrund das Modul „</w:t>
      </w:r>
      <w:proofErr w:type="spellStart"/>
      <w:r w:rsidRPr="00752B9D">
        <w:t>Physics</w:t>
      </w:r>
      <w:proofErr w:type="spellEnd"/>
      <w:r w:rsidRPr="00752B9D">
        <w:t xml:space="preserve"> of Modern Devices“ und Studierende mit physikalischem Schwerpunkt das Modul „</w:t>
      </w:r>
      <w:proofErr w:type="spellStart"/>
      <w:r w:rsidRPr="00752B9D">
        <w:t>Introduction</w:t>
      </w:r>
      <w:proofErr w:type="spellEnd"/>
      <w:r w:rsidRPr="00752B9D">
        <w:t xml:space="preserve"> </w:t>
      </w:r>
      <w:proofErr w:type="spellStart"/>
      <w:r w:rsidRPr="00752B9D">
        <w:t>to</w:t>
      </w:r>
      <w:proofErr w:type="spellEnd"/>
      <w:r w:rsidRPr="00752B9D">
        <w:t xml:space="preserve"> </w:t>
      </w:r>
      <w:proofErr w:type="spellStart"/>
      <w:r w:rsidRPr="00752B9D">
        <w:t>Microwave</w:t>
      </w:r>
      <w:proofErr w:type="spellEnd"/>
      <w:r w:rsidRPr="00752B9D">
        <w:t xml:space="preserve"> Electronics“. Der Kern des Curriculums gliedert sich in drei Themenbereiche: </w:t>
      </w:r>
    </w:p>
    <w:p w14:paraId="3CA762A2" w14:textId="77777777" w:rsidR="00835972" w:rsidRDefault="00835972" w:rsidP="0044081B">
      <w:pPr>
        <w:pStyle w:val="Listenabsatz"/>
        <w:numPr>
          <w:ilvl w:val="0"/>
          <w:numId w:val="9"/>
        </w:numPr>
        <w:rPr>
          <w:rFonts w:cs="Arial"/>
        </w:rPr>
      </w:pPr>
      <w:r w:rsidRPr="00835972">
        <w:rPr>
          <w:rFonts w:cs="Arial"/>
        </w:rPr>
        <w:t>Technology and Devices</w:t>
      </w:r>
    </w:p>
    <w:p w14:paraId="7C7FAA94" w14:textId="77777777" w:rsidR="00835972" w:rsidRDefault="00835972" w:rsidP="0044081B">
      <w:pPr>
        <w:pStyle w:val="Listenabsatz"/>
        <w:numPr>
          <w:ilvl w:val="0"/>
          <w:numId w:val="9"/>
        </w:numPr>
        <w:rPr>
          <w:rFonts w:cs="Arial"/>
        </w:rPr>
      </w:pPr>
      <w:r w:rsidRPr="00835972">
        <w:rPr>
          <w:rFonts w:cs="Arial"/>
        </w:rPr>
        <w:t>Circuit Design</w:t>
      </w:r>
    </w:p>
    <w:p w14:paraId="48BFE5C7" w14:textId="77777777" w:rsidR="00835972" w:rsidRDefault="00835972" w:rsidP="0044081B">
      <w:pPr>
        <w:pStyle w:val="Listenabsatz"/>
        <w:numPr>
          <w:ilvl w:val="0"/>
          <w:numId w:val="9"/>
        </w:numPr>
        <w:rPr>
          <w:rFonts w:cs="Arial"/>
        </w:rPr>
      </w:pPr>
      <w:proofErr w:type="spellStart"/>
      <w:r>
        <w:rPr>
          <w:rFonts w:cs="Arial"/>
        </w:rPr>
        <w:t>Applications</w:t>
      </w:r>
      <w:proofErr w:type="spellEnd"/>
    </w:p>
    <w:p w14:paraId="04DEE06F" w14:textId="797A7178" w:rsidR="00FF7D6C" w:rsidRPr="00FF7D6C" w:rsidRDefault="00835972" w:rsidP="007362FD">
      <w:r w:rsidRPr="00835972">
        <w:t xml:space="preserve">Aus jedem </w:t>
      </w:r>
      <w:r w:rsidR="00654040">
        <w:t xml:space="preserve">der </w:t>
      </w:r>
      <w:r>
        <w:t>drei</w:t>
      </w:r>
      <w:r w:rsidRPr="00835972">
        <w:t xml:space="preserve"> Themenbereiche müssen </w:t>
      </w:r>
      <w:r>
        <w:t xml:space="preserve">Studierende </w:t>
      </w:r>
      <w:r w:rsidRPr="00835972">
        <w:t xml:space="preserve">zwei Wahlpflichtmodule </w:t>
      </w:r>
      <w:r>
        <w:t xml:space="preserve">belegen. </w:t>
      </w:r>
      <w:r w:rsidRPr="00835972">
        <w:t xml:space="preserve">Durch die entsprechende Wahl von fünf weiteren Wahlpflichtmodulen kann der Schwerpunkt des </w:t>
      </w:r>
      <w:r w:rsidRPr="00835972">
        <w:lastRenderedPageBreak/>
        <w:t xml:space="preserve">Studiums bestimmt werden. </w:t>
      </w:r>
      <w:r>
        <w:t xml:space="preserve">Darüber hinaus absolvieren die Studierenden im dritten Semester ein </w:t>
      </w:r>
      <w:r w:rsidRPr="00835972">
        <w:t>Forschungsprojekt</w:t>
      </w:r>
      <w:r>
        <w:t xml:space="preserve"> (12 ECTS Punkte). </w:t>
      </w:r>
      <w:r w:rsidR="00752B9D">
        <w:t>Der Studiengang schließt</w:t>
      </w:r>
      <w:r w:rsidR="00752B9D" w:rsidRPr="00426673">
        <w:t xml:space="preserve"> mit einer Abschlussarbei</w:t>
      </w:r>
      <w:r w:rsidR="00752B9D">
        <w:t>t ab, welche 30 ECTS-Punkte (inklusive Kolloquium) umfasst.</w:t>
      </w:r>
    </w:p>
    <w:p w14:paraId="7554AD55" w14:textId="77777777" w:rsidR="009E2E78" w:rsidRPr="007362FD" w:rsidRDefault="00FF7D6C" w:rsidP="007362FD">
      <w:pPr>
        <w:rPr>
          <w:color w:val="000009"/>
          <w:sz w:val="23"/>
          <w:szCs w:val="23"/>
        </w:rPr>
      </w:pPr>
      <w:r w:rsidRPr="007362FD">
        <w:rPr>
          <w:color w:val="000009"/>
          <w:szCs w:val="23"/>
        </w:rPr>
        <w:t>Die Institute der Physik sowie der Elektrotechnik und Informationstechnik der BTU Cottbus-Senftenberg kooperieren eng mit den bereits genannten Forschungseinrichtungen (Leibniz-Institut für innovative Mikroelektronik (IHP), Ferdinand-Braun-Institut, Leibniz-Institut für Höchstfrequenztechnik (FBH), Fraunhofer-Institut für Mikrointegration und Zuverlässigkeit (</w:t>
      </w:r>
      <w:proofErr w:type="spellStart"/>
      <w:r w:rsidRPr="007362FD">
        <w:rPr>
          <w:color w:val="000009"/>
          <w:szCs w:val="23"/>
        </w:rPr>
        <w:t>FhG</w:t>
      </w:r>
      <w:proofErr w:type="spellEnd"/>
      <w:r w:rsidRPr="007362FD">
        <w:rPr>
          <w:color w:val="000009"/>
          <w:szCs w:val="23"/>
        </w:rPr>
        <w:t xml:space="preserve">-IZM) und Fraunhofer-Institut für </w:t>
      </w:r>
      <w:proofErr w:type="spellStart"/>
      <w:r w:rsidRPr="007362FD">
        <w:rPr>
          <w:color w:val="000009"/>
          <w:szCs w:val="23"/>
        </w:rPr>
        <w:t>Photonische</w:t>
      </w:r>
      <w:proofErr w:type="spellEnd"/>
      <w:r w:rsidRPr="007362FD">
        <w:rPr>
          <w:color w:val="000009"/>
          <w:szCs w:val="23"/>
        </w:rPr>
        <w:t xml:space="preserve"> Mikrosysteme (</w:t>
      </w:r>
      <w:proofErr w:type="spellStart"/>
      <w:r w:rsidRPr="007362FD">
        <w:rPr>
          <w:color w:val="000009"/>
          <w:szCs w:val="23"/>
        </w:rPr>
        <w:t>FhG</w:t>
      </w:r>
      <w:proofErr w:type="spellEnd"/>
      <w:r w:rsidRPr="007362FD">
        <w:rPr>
          <w:color w:val="000009"/>
          <w:szCs w:val="23"/>
        </w:rPr>
        <w:t>-IMPS)). Die Ergebnisse der gemeinsamen Forschungsprojekte fließen auch in die Lehre ein. Darüber hinaus haben die Studierenden die Möglichkeit, das Forschungsmodul oder die Masterarbeit in einer der externen Forschungseinrichtungen zu absolvieren.</w:t>
      </w:r>
      <w:r w:rsidR="00DE263A">
        <w:rPr>
          <w:color w:val="000009"/>
          <w:sz w:val="23"/>
          <w:szCs w:val="23"/>
        </w:rPr>
        <w:tab/>
      </w:r>
    </w:p>
    <w:p w14:paraId="4C8A79C2" w14:textId="77777777" w:rsidR="009E2E78" w:rsidRPr="007362FD" w:rsidRDefault="009E2E78" w:rsidP="007362FD">
      <w:pPr>
        <w:rPr>
          <w:u w:val="single"/>
        </w:rPr>
      </w:pPr>
      <w:r w:rsidRPr="007362FD">
        <w:rPr>
          <w:u w:val="single"/>
        </w:rPr>
        <w:t>Modularisierung</w:t>
      </w:r>
    </w:p>
    <w:p w14:paraId="776DE642" w14:textId="77777777" w:rsidR="007362FD" w:rsidRDefault="007362FD" w:rsidP="007362FD">
      <w:r>
        <w:t>Die Module des Studiengangs haben einen Umfang von 6 bis 12 ECTS-Punkten.</w:t>
      </w:r>
      <w:r w:rsidRPr="00EC77BB">
        <w:t xml:space="preserve"> </w:t>
      </w:r>
      <w:r>
        <w:t>Eine Ausnahme bildet die Masterthesis im Umfang von 30 ECTS-Punkten (inkl. Kolloquium). In jedem Semester erwerben die Studierenden 30 ECTS Punkte. Pro Semester müssen die Studierenden somit maximal fünf Module absolvieren. Alle Module werden innerhalb eines Semesters abgeschlossen.</w:t>
      </w:r>
    </w:p>
    <w:p w14:paraId="4E276990" w14:textId="77777777" w:rsidR="009E2E78" w:rsidRPr="007362FD" w:rsidRDefault="009E2E78" w:rsidP="007362FD">
      <w:pPr>
        <w:rPr>
          <w:u w:val="single"/>
        </w:rPr>
      </w:pPr>
      <w:r w:rsidRPr="007362FD">
        <w:rPr>
          <w:u w:val="single"/>
        </w:rPr>
        <w:t>Didaktik</w:t>
      </w:r>
    </w:p>
    <w:p w14:paraId="76C85F2D" w14:textId="70DC6E2A" w:rsidR="007A1A9D" w:rsidRDefault="007362FD" w:rsidP="007362FD">
      <w:r>
        <w:t xml:space="preserve">Der Selbstbericht sowie die Modulbeschreibungen geben Auskunft über die unterschiedlichen Lehr- und Lernmethoden, welche in dem Studiengang eingesetzt werden. Dazu gehören neben den üblichen </w:t>
      </w:r>
      <w:r w:rsidR="007A1A9D">
        <w:t>Vorlesungen und Seminaren auch Laborp</w:t>
      </w:r>
      <w:r>
        <w:t xml:space="preserve">raktika, Projektarbeiten, Übungen und Gruppenarbeiten. </w:t>
      </w:r>
      <w:r w:rsidR="007A1A9D" w:rsidRPr="007A1A9D">
        <w:t>Teilweise werden auch digitale Lehrmethoden eingesetzt und einige Vorlesungen aufgezeichnet und anschließend den Studierenden elektronisch zur Verfügung gestellt.</w:t>
      </w:r>
    </w:p>
    <w:p w14:paraId="7FF848D0" w14:textId="77777777" w:rsidR="009E2E78" w:rsidRPr="007362FD" w:rsidRDefault="009E2E78" w:rsidP="007362FD">
      <w:pPr>
        <w:rPr>
          <w:u w:val="single"/>
        </w:rPr>
      </w:pPr>
      <w:r w:rsidRPr="007362FD">
        <w:rPr>
          <w:u w:val="single"/>
        </w:rPr>
        <w:t>Zugangsvoraussetzungen</w:t>
      </w:r>
    </w:p>
    <w:p w14:paraId="730E6359" w14:textId="77777777" w:rsidR="00384515" w:rsidRPr="007B58D9" w:rsidRDefault="007A1A9D" w:rsidP="003C23A6">
      <w:pPr>
        <w:spacing w:before="0" w:after="120"/>
        <w:rPr>
          <w:rFonts w:cs="Arial"/>
          <w:szCs w:val="22"/>
        </w:rPr>
      </w:pPr>
      <w:r w:rsidRPr="00F538AA">
        <w:t xml:space="preserve">Die Zugangsvoraussetzungen für den Studiengang sind im </w:t>
      </w:r>
      <w:r>
        <w:t>Detail</w:t>
      </w:r>
      <w:r w:rsidRPr="00F538AA">
        <w:t xml:space="preserve"> in § 5 </w:t>
      </w:r>
      <w:proofErr w:type="spellStart"/>
      <w:r>
        <w:t>StudAkkV</w:t>
      </w:r>
      <w:proofErr w:type="spellEnd"/>
      <w:r>
        <w:t xml:space="preserve"> </w:t>
      </w:r>
      <w:r w:rsidRPr="00F538AA">
        <w:t>dieses Berichts dargestellt.</w:t>
      </w:r>
    </w:p>
    <w:p w14:paraId="0A063D0E" w14:textId="77777777" w:rsidR="00384515" w:rsidRDefault="00384515" w:rsidP="00384515">
      <w:pPr>
        <w:spacing w:before="0" w:after="120" w:line="240" w:lineRule="auto"/>
        <w:rPr>
          <w:rFonts w:cs="Arial"/>
          <w:i/>
          <w:szCs w:val="22"/>
        </w:rPr>
      </w:pPr>
      <w:r w:rsidRPr="00457100">
        <w:rPr>
          <w:rFonts w:cs="Arial"/>
          <w:b/>
          <w:color w:val="A71930"/>
          <w:szCs w:val="22"/>
        </w:rPr>
        <w:t>Bewertung: Stärken und Entwicklungsbedarf</w:t>
      </w:r>
    </w:p>
    <w:p w14:paraId="2C60EEF8" w14:textId="77777777" w:rsidR="00384515" w:rsidRPr="003C23A6" w:rsidRDefault="00384515" w:rsidP="003C23A6">
      <w:pPr>
        <w:rPr>
          <w:u w:val="single"/>
        </w:rPr>
      </w:pPr>
      <w:r w:rsidRPr="003C23A6">
        <w:rPr>
          <w:u w:val="single"/>
        </w:rPr>
        <w:t>Curriculum</w:t>
      </w:r>
    </w:p>
    <w:p w14:paraId="6A9E66E0" w14:textId="30F08916" w:rsidR="00D9308A" w:rsidRDefault="003C23A6" w:rsidP="00E614FE">
      <w:r>
        <w:t xml:space="preserve">Die </w:t>
      </w:r>
      <w:proofErr w:type="spellStart"/>
      <w:proofErr w:type="gramStart"/>
      <w:r>
        <w:t>Gutachter:innen</w:t>
      </w:r>
      <w:proofErr w:type="spellEnd"/>
      <w:proofErr w:type="gramEnd"/>
      <w:r>
        <w:t xml:space="preserve"> betrachten die von der Hochschule vorgelegten Modulbeschreibungen und den Studienplan und kommen zu der Ansicht, dass das Curriculum des Masterstudiengangs die angestrebten Ziele gut umsetzt. Die </w:t>
      </w:r>
      <w:proofErr w:type="spellStart"/>
      <w:proofErr w:type="gramStart"/>
      <w:r>
        <w:t>Gutachter:innen</w:t>
      </w:r>
      <w:proofErr w:type="spellEnd"/>
      <w:proofErr w:type="gramEnd"/>
      <w:r>
        <w:t xml:space="preserve"> erkennen, dass die Studierenden während des Masterstudiums, aufbauend auf dem zuvor absolvierten Bachelorstudium, ihre Kenntnisse und Fertigkeiten vertiefen und so geeignet sind, Führungs- und Leitungsaufgaben oder auch Forschungsaufgaben im Bereich des </w:t>
      </w:r>
      <w:r w:rsidRPr="003C23A6">
        <w:t xml:space="preserve">Halbleiterindustrie bzw. Technologieentwicklung </w:t>
      </w:r>
      <w:r w:rsidR="00D9308A">
        <w:t>zu überneh</w:t>
      </w:r>
      <w:r w:rsidR="00D9308A">
        <w:lastRenderedPageBreak/>
        <w:t xml:space="preserve">men. </w:t>
      </w:r>
      <w:r w:rsidR="00D9308A" w:rsidRPr="00D9308A">
        <w:t xml:space="preserve">Die </w:t>
      </w:r>
      <w:proofErr w:type="spellStart"/>
      <w:proofErr w:type="gramStart"/>
      <w:r w:rsidR="00D9308A" w:rsidRPr="00D9308A">
        <w:t>Gutachter:innen</w:t>
      </w:r>
      <w:proofErr w:type="spellEnd"/>
      <w:proofErr w:type="gramEnd"/>
      <w:r w:rsidR="00D9308A" w:rsidRPr="00D9308A">
        <w:t xml:space="preserve"> begrüßen insbesondere die Kooperationen mit den verschiedenen externen Forschungseinrichtungen, die es zum einen ermöglichen, aktuelle Ergebnisse direkt in die Lehre einfließen zu lassen und zum anderen den Studierenden die Möglichkeit bieten, im Rahmen eigener Projekte bereits fundierte Forschungserfahrungen zu sammeln. </w:t>
      </w:r>
    </w:p>
    <w:p w14:paraId="467F7F20" w14:textId="0957066E" w:rsidR="00D9308A" w:rsidRDefault="00D9308A" w:rsidP="00E614FE">
      <w:r w:rsidRPr="00D9308A">
        <w:t xml:space="preserve">Insgesamt sind die </w:t>
      </w:r>
      <w:proofErr w:type="spellStart"/>
      <w:proofErr w:type="gramStart"/>
      <w:r w:rsidRPr="00D9308A">
        <w:t>Gutachter:innen</w:t>
      </w:r>
      <w:proofErr w:type="spellEnd"/>
      <w:proofErr w:type="gramEnd"/>
      <w:r w:rsidRPr="00D9308A">
        <w:t xml:space="preserve"> der Ansicht, dass der Studiengang inhaltlich einen äußerst aktuellen und relevanten Themenkomplex aufgreift und daher mit hoher Wahrscheinlichkeit auf eine große Nachfrage stoßen wird; die Anmeldezahlen zum Studienstart belegen dies, da sich bei einer Aufnahmekapazität von 25 Studierenden pro Kohorte zum Studienstart 267 Personen beworben haben. Die Tatsache, dass der Studiengang auf Englisch angeboten wird und somit nicht nur für ausländische Studierende attraktiv ist, sondern auch für deutsche Studierende einen Vorteil auf dem inter-/nationalen Arbeitsmarkt birgt, sehen die </w:t>
      </w:r>
      <w:proofErr w:type="spellStart"/>
      <w:proofErr w:type="gramStart"/>
      <w:r w:rsidRPr="00D9308A">
        <w:t>Gutachter:innen</w:t>
      </w:r>
      <w:proofErr w:type="spellEnd"/>
      <w:proofErr w:type="gramEnd"/>
      <w:r w:rsidRPr="00D9308A">
        <w:t xml:space="preserve"> ebenfalls positiv. </w:t>
      </w:r>
    </w:p>
    <w:p w14:paraId="444058FA" w14:textId="341307E1" w:rsidR="00384515" w:rsidRPr="00402DF0" w:rsidRDefault="00973DEB" w:rsidP="00402DF0">
      <w:r w:rsidRPr="00973DEB">
        <w:t xml:space="preserve">Die </w:t>
      </w:r>
      <w:proofErr w:type="spellStart"/>
      <w:proofErr w:type="gramStart"/>
      <w:r w:rsidRPr="00973DEB">
        <w:t>Gutachter:innen</w:t>
      </w:r>
      <w:proofErr w:type="spellEnd"/>
      <w:proofErr w:type="gramEnd"/>
      <w:r w:rsidRPr="00973DEB">
        <w:t xml:space="preserve"> wundern sich jedoch, dass keine Inhalte im Bereich Digitaltechnik und digitale Schaltungstechnik im Studiengang behandelt werden, da diese </w:t>
      </w:r>
      <w:r w:rsidR="00654040">
        <w:t>heute ein wichtiger Teil mikroelektronischer Systeme und auch der Wertschöpfungskette sind.</w:t>
      </w:r>
      <w:r w:rsidRPr="00973DEB">
        <w:t xml:space="preserve"> Die </w:t>
      </w:r>
      <w:proofErr w:type="spellStart"/>
      <w:r w:rsidRPr="00973DEB">
        <w:t>Studiengangsverantwortlichen</w:t>
      </w:r>
      <w:proofErr w:type="spellEnd"/>
      <w:r w:rsidRPr="00973DEB">
        <w:t xml:space="preserve"> erklären, dass sie diese Inhalte ebenfalls für relevant halten und gerne in den Studiengang integrieren würden. Allerdings verfügen sie derzeit nicht über das notwendige Lehrpersonal, um diese Inhalte zu vermitteln, und sie erhalten auch keine finanziellen Mittel, um zusätzliches Lehrpersonal einzustellen. Sie fügen jedoch hinzu, dass sie Kontakte zu Lehrenden in Israel haben, die über Expertise in genau diesen Bereichen verfügen. Durch ein geplantes Double Degree mit der </w:t>
      </w:r>
      <w:r w:rsidR="00D9308A">
        <w:t xml:space="preserve">israelischen </w:t>
      </w:r>
      <w:commentRangeStart w:id="37"/>
      <w:r w:rsidRPr="00973DEB">
        <w:t xml:space="preserve">Hochschule </w:t>
      </w:r>
      <w:commentRangeEnd w:id="37"/>
      <w:r w:rsidR="00D9308A">
        <w:rPr>
          <w:rStyle w:val="Kommentarzeichen"/>
        </w:rPr>
        <w:commentReference w:id="37"/>
      </w:r>
      <w:r w:rsidR="00F33389">
        <w:t>planen s</w:t>
      </w:r>
      <w:r w:rsidRPr="00973DEB">
        <w:t xml:space="preserve">ie aber, diese bisherige „Lücke“ zu schließen, da die Studierenden dann Kurse zu diesen Inhalten an der Partnerhochschule besuchen könnten. Die </w:t>
      </w:r>
      <w:proofErr w:type="spellStart"/>
      <w:proofErr w:type="gramStart"/>
      <w:r w:rsidRPr="00973DEB">
        <w:t>Gutachter:innen</w:t>
      </w:r>
      <w:proofErr w:type="spellEnd"/>
      <w:proofErr w:type="gramEnd"/>
      <w:r w:rsidRPr="00973DEB">
        <w:t xml:space="preserve"> können die Situation und die finanziellen Beschränkungen nachvollziehen. Sie begrüßen auch die Bemühungen im Rahmen einer möglichen Partnerschaft, diese Inhalte ebenfalls in den Studiengang zu integrieren. Da diese Kooperation aber bisher nur in Planung ist und die endgültige Umsetzung ungewiss ist, empfehlen die </w:t>
      </w:r>
      <w:proofErr w:type="spellStart"/>
      <w:proofErr w:type="gramStart"/>
      <w:r w:rsidRPr="00973DEB">
        <w:t>Gutachter:innen</w:t>
      </w:r>
      <w:proofErr w:type="spellEnd"/>
      <w:proofErr w:type="gramEnd"/>
      <w:r w:rsidRPr="00973DEB">
        <w:t xml:space="preserve"> zum jetzigen Zeitpunkt Lehrpersonal in den Bereichen Digitaltechnik und Digitale Schaltungstechnik im Studiengang einzustellen und Inhalte aus diesen Bereichen entsprechend in das Curriculum zu integrieren.</w:t>
      </w:r>
    </w:p>
    <w:p w14:paraId="73A244AF" w14:textId="77777777" w:rsidR="00384515" w:rsidRPr="001251B2" w:rsidRDefault="00384515" w:rsidP="00402DF0">
      <w:pPr>
        <w:rPr>
          <w:u w:val="single"/>
        </w:rPr>
      </w:pPr>
      <w:r w:rsidRPr="001251B2">
        <w:rPr>
          <w:u w:val="single"/>
        </w:rPr>
        <w:t>Modularisierung</w:t>
      </w:r>
    </w:p>
    <w:p w14:paraId="3331F3EC" w14:textId="0F7882C7" w:rsidR="00384515" w:rsidRDefault="00402DF0" w:rsidP="00402DF0">
      <w:r w:rsidRPr="008F1075">
        <w:t xml:space="preserve">Die </w:t>
      </w:r>
      <w:proofErr w:type="spellStart"/>
      <w:proofErr w:type="gramStart"/>
      <w:r w:rsidRPr="008F1075">
        <w:t>Gutachter:innen</w:t>
      </w:r>
      <w:proofErr w:type="spellEnd"/>
      <w:proofErr w:type="gramEnd"/>
      <w:r w:rsidRPr="008F1075">
        <w:t xml:space="preserve"> stellen fest, dass die Module durchgehend sinnvoll zusammengestellte Lerneinheiten darstellen. </w:t>
      </w:r>
      <w:r>
        <w:t xml:space="preserve">Zudem </w:t>
      </w:r>
      <w:r w:rsidRPr="008F1075">
        <w:t>berücksichtigt</w:t>
      </w:r>
      <w:r>
        <w:t xml:space="preserve"> die</w:t>
      </w:r>
      <w:r w:rsidRPr="008F1075">
        <w:t xml:space="preserve"> Abfolge der Module mögliche Abhängigkeiten zwischen den Lehrveranstaltungen, so dass sichergestellt ist, dass die Studierenden für jedes Modul die notwen</w:t>
      </w:r>
      <w:r>
        <w:t xml:space="preserve">digen Vorkenntnisse erwerben. Die </w:t>
      </w:r>
      <w:proofErr w:type="spellStart"/>
      <w:proofErr w:type="gramStart"/>
      <w:r>
        <w:t>Gutachter:innen</w:t>
      </w:r>
      <w:proofErr w:type="spellEnd"/>
      <w:proofErr w:type="gramEnd"/>
      <w:r>
        <w:t xml:space="preserve"> erkennen ebenfalls, dass al</w:t>
      </w:r>
      <w:r w:rsidRPr="008F1075">
        <w:t>le Module den Mi</w:t>
      </w:r>
      <w:r>
        <w:t xml:space="preserve">ndestumfang von 5 ECTS-Punkten </w:t>
      </w:r>
      <w:r w:rsidRPr="008F1075">
        <w:t xml:space="preserve">umfassen </w:t>
      </w:r>
      <w:r>
        <w:t xml:space="preserve">und </w:t>
      </w:r>
      <w:r w:rsidRPr="008F1075">
        <w:t>inner</w:t>
      </w:r>
      <w:r>
        <w:t>halb eines Semesters absolviert werden.</w:t>
      </w:r>
    </w:p>
    <w:p w14:paraId="1E677270" w14:textId="77777777" w:rsidR="00384515" w:rsidRPr="001251B2" w:rsidRDefault="00384515" w:rsidP="00402DF0">
      <w:pPr>
        <w:rPr>
          <w:u w:val="single"/>
        </w:rPr>
      </w:pPr>
      <w:r w:rsidRPr="001251B2">
        <w:rPr>
          <w:u w:val="single"/>
        </w:rPr>
        <w:t>Didaktik</w:t>
      </w:r>
    </w:p>
    <w:p w14:paraId="019DF407" w14:textId="477158BD" w:rsidR="00384515" w:rsidRPr="00E34524" w:rsidRDefault="00E34524" w:rsidP="00E34524">
      <w:r w:rsidRPr="000B7D1E">
        <w:lastRenderedPageBreak/>
        <w:t xml:space="preserve">Aus Sicht der </w:t>
      </w:r>
      <w:proofErr w:type="spellStart"/>
      <w:proofErr w:type="gramStart"/>
      <w:r w:rsidRPr="000B7D1E">
        <w:t>Gutachter:innen</w:t>
      </w:r>
      <w:proofErr w:type="spellEnd"/>
      <w:proofErr w:type="gramEnd"/>
      <w:r w:rsidRPr="000B7D1E">
        <w:t xml:space="preserve"> sind die verschiedenen Lehr- und Lernformen gut geeignet, um die Studienziele umzusetzen. Insbesondere die Projekte, in denen die Studierenden neben der fachlichen Anwendung der theoretisch erworbenen Fertigkeiten auch Team- und Kommunikationsfähigkeiten einüben bzw. vertiefen, sehen die </w:t>
      </w:r>
      <w:proofErr w:type="spellStart"/>
      <w:proofErr w:type="gramStart"/>
      <w:r w:rsidRPr="000B7D1E">
        <w:t>Gutachter:innen</w:t>
      </w:r>
      <w:proofErr w:type="spellEnd"/>
      <w:proofErr w:type="gramEnd"/>
      <w:r w:rsidRPr="000B7D1E">
        <w:t xml:space="preserve"> sehr positiv. </w:t>
      </w:r>
    </w:p>
    <w:p w14:paraId="23A77302" w14:textId="77777777" w:rsidR="00384515" w:rsidRPr="001251B2" w:rsidRDefault="00384515" w:rsidP="00E34524">
      <w:pPr>
        <w:rPr>
          <w:rFonts w:cs="Arial"/>
          <w:u w:val="single"/>
        </w:rPr>
      </w:pPr>
      <w:r w:rsidRPr="001251B2">
        <w:rPr>
          <w:rFonts w:cs="Arial"/>
          <w:u w:val="single"/>
        </w:rPr>
        <w:t>Zugangsvoraussetzungen</w:t>
      </w:r>
    </w:p>
    <w:p w14:paraId="3296F026" w14:textId="73D4B735" w:rsidR="00E34524" w:rsidRDefault="0020652F" w:rsidP="00487FC6">
      <w:r w:rsidRPr="0020652F">
        <w:t xml:space="preserve">Aufgrund der relativ breiten Zugangsvoraussetzungen, die sowohl Studierenden mit einem mathematisch-physikalischen Hintergrund als auch Studierenden mit einem elektro- bzw. informationstechnischen Hintergrund die Aufnahme des Masterstudiums ermöglichen, ergibt sich für die </w:t>
      </w:r>
      <w:proofErr w:type="spellStart"/>
      <w:r w:rsidRPr="0020652F">
        <w:t>Gutachter:innen</w:t>
      </w:r>
      <w:proofErr w:type="spellEnd"/>
      <w:r w:rsidRPr="0020652F">
        <w:t xml:space="preserve"> Diskussionsbedarf, wie die Hochschule sicherstellen möchte, dass alle </w:t>
      </w:r>
      <w:proofErr w:type="spellStart"/>
      <w:r w:rsidRPr="0020652F">
        <w:t>Bewerber:innen</w:t>
      </w:r>
      <w:proofErr w:type="spellEnd"/>
      <w:r w:rsidRPr="0020652F">
        <w:t xml:space="preserve"> trotz heterogener Vorkenntnisse die Programmziele auf Masterniveau erfolgreich erreichen und das Masterstudium generell ohne besondere Hürden absolvieren können. Die Programmverantwortlichen erläutern, dass sie aufgrund der potentiellen Heterogenität der </w:t>
      </w:r>
      <w:proofErr w:type="spellStart"/>
      <w:proofErr w:type="gramStart"/>
      <w:r w:rsidRPr="0020652F">
        <w:t>Studienanfänger:innen</w:t>
      </w:r>
      <w:proofErr w:type="spellEnd"/>
      <w:proofErr w:type="gramEnd"/>
      <w:r w:rsidRPr="0020652F">
        <w:t xml:space="preserve"> das erste Semester bewusst so konzipiert haben, dass die Studierenden durch die beiden Module „</w:t>
      </w:r>
      <w:proofErr w:type="spellStart"/>
      <w:r w:rsidRPr="0020652F">
        <w:t>Physics</w:t>
      </w:r>
      <w:proofErr w:type="spellEnd"/>
      <w:r w:rsidRPr="0020652F">
        <w:t xml:space="preserve"> of Modern Devices“ und „</w:t>
      </w:r>
      <w:proofErr w:type="spellStart"/>
      <w:r w:rsidRPr="0020652F">
        <w:t>Introduction</w:t>
      </w:r>
      <w:proofErr w:type="spellEnd"/>
      <w:r w:rsidRPr="0020652F">
        <w:t xml:space="preserve"> </w:t>
      </w:r>
      <w:proofErr w:type="spellStart"/>
      <w:r w:rsidRPr="0020652F">
        <w:t>to</w:t>
      </w:r>
      <w:proofErr w:type="spellEnd"/>
      <w:r w:rsidRPr="0020652F">
        <w:t xml:space="preserve"> </w:t>
      </w:r>
      <w:proofErr w:type="spellStart"/>
      <w:r w:rsidRPr="0020652F">
        <w:t>Microwave</w:t>
      </w:r>
      <w:proofErr w:type="spellEnd"/>
      <w:r w:rsidRPr="0020652F">
        <w:t xml:space="preserve"> Electronics“ die jeweils fehlenden Kenntnisse ausgleichen, um im weiteren Verlauf den Masterstudiengang absolvieren zu können. Die Programmverantwortlichen weisen zudem darauf hin, dass in den jeweiligen Modulen, sowohl in den beiden spezifischen Angleichungsmodulen als auch in den anderen Fachmodulen, auch auf eventuelle kleinere Lücken eingegangen werden kann; dies ist auch in anderen Studiengängen, in denen ebenfalls breitere Zugangsvoraussetzungen definiert sind, Praxis. Die </w:t>
      </w:r>
      <w:proofErr w:type="spellStart"/>
      <w:proofErr w:type="gramStart"/>
      <w:r w:rsidRPr="0020652F">
        <w:t>Gutachter:innen</w:t>
      </w:r>
      <w:proofErr w:type="spellEnd"/>
      <w:proofErr w:type="gramEnd"/>
      <w:r w:rsidRPr="0020652F">
        <w:t xml:space="preserve"> begrüßen die Etablierung der beiden Module zu Beginn, die so konzipiert sind, dass alle Studierenden auf einen annähernd gleichen Wissensstand hinsichtlich der benötigten Kenntnisse gebracht werden. Vor diesem Hintergrund halten sie die fachlichen Zugangsvoraussetzungen für angemessen, um sicherzustellen, dass alle Studierenden die Programmziele auf Masterniveau erreichen werden. Sie regen jedoch an, in Zukunft verstärkt zu prüfen, ob sich das Konzept der breiteren Zugangsvoraussetzungen und der entsprechenden Angleichungsmodule auch in der Praxis bewährt.</w:t>
      </w:r>
    </w:p>
    <w:p w14:paraId="46AAB4BA" w14:textId="77777777" w:rsidR="0020652F" w:rsidRDefault="0020652F" w:rsidP="00E942EE">
      <w:r w:rsidRPr="0020652F">
        <w:t xml:space="preserve">In den weiteren Erläuterungen zu den Zugangsvoraussetzungen in der </w:t>
      </w:r>
      <w:proofErr w:type="spellStart"/>
      <w:r w:rsidRPr="0020652F">
        <w:t>studiengangsspezifischen</w:t>
      </w:r>
      <w:proofErr w:type="spellEnd"/>
      <w:r w:rsidRPr="0020652F">
        <w:t xml:space="preserve"> Studien- und Prüfungsordnung finden die </w:t>
      </w:r>
      <w:proofErr w:type="spellStart"/>
      <w:proofErr w:type="gramStart"/>
      <w:r w:rsidRPr="0020652F">
        <w:t>Gutachter:innen</w:t>
      </w:r>
      <w:proofErr w:type="spellEnd"/>
      <w:proofErr w:type="gramEnd"/>
      <w:r w:rsidRPr="0020652F">
        <w:t xml:space="preserve"> jedoch einen Passus, der ihnen Sorge bereitet. Dieser lautet</w:t>
      </w:r>
      <w:r>
        <w:t>:</w:t>
      </w:r>
    </w:p>
    <w:p w14:paraId="32A9017F" w14:textId="7C09B57F" w:rsidR="00E942EE" w:rsidRDefault="0020652F" w:rsidP="00E942EE">
      <w:r w:rsidRPr="0020652F">
        <w:t xml:space="preserve"> </w:t>
      </w:r>
      <w:r w:rsidR="00E942EE">
        <w:t>„(3) Die Prüfung auf ausreichende inhaltliche Nähe ein</w:t>
      </w:r>
      <w:r w:rsidR="000D2468">
        <w:t xml:space="preserve">es Abschlusses gemäß § 4 Abs. 1 </w:t>
      </w:r>
      <w:r w:rsidR="00E942EE">
        <w:t>führt der Prüfungsausschuss durch. In Fällen einer bedingten Gleichwertigkeit kann der Prüfungsausschuss das Nachholen von Modulen aus den Bachelor-Studiengängen Physik und Elektrotechnik an der BTU im maximalen Umfang von 18 Leistungspunkten (LP) als Auflage für die Zulassung f</w:t>
      </w:r>
      <w:r w:rsidR="000D2468">
        <w:t xml:space="preserve">estlegen. </w:t>
      </w:r>
      <w:r w:rsidR="00E942EE">
        <w:t xml:space="preserve">Diese Auflagenmodule können nicht auf den Master-Studiengang Micro- </w:t>
      </w:r>
      <w:proofErr w:type="spellStart"/>
      <w:r w:rsidR="00E942EE">
        <w:t>and</w:t>
      </w:r>
      <w:proofErr w:type="spellEnd"/>
      <w:r w:rsidR="00E942EE">
        <w:t xml:space="preserve"> </w:t>
      </w:r>
      <w:proofErr w:type="spellStart"/>
      <w:r w:rsidR="00E942EE">
        <w:t>Nanoelectronics</w:t>
      </w:r>
      <w:proofErr w:type="spellEnd"/>
      <w:r w:rsidR="00E942EE">
        <w:t xml:space="preserve"> angerechnet</w:t>
      </w:r>
      <w:r w:rsidR="000D2468">
        <w:t xml:space="preserve"> werden. (4) Auflagenmodule werden nach inhaltlichen Gesichtspunkten </w:t>
      </w:r>
      <w:r w:rsidR="000D2468">
        <w:lastRenderedPageBreak/>
        <w:t>aus dem Modulprogramm der BTU bestimmt. Wird an der BTU kein entsprechendes englischsprachiges Modul angeboten, so kann auch ein deutschsprachiges Modul festgelegt werden. Für diese Fälle wird den Studienbewerberinnen und Studienbewerbern ohne oder mit geringen Deutschkenntnissen dringend empfohlen, sich bis zum Ende des zweiten Semesters eigenverantwortlich Kenntnisse der deutschen Sprache auf dem Niveau B2 anzueignen.“</w:t>
      </w:r>
    </w:p>
    <w:p w14:paraId="528F013D" w14:textId="621A6FB7" w:rsidR="0020652F" w:rsidRDefault="0020652F" w:rsidP="00E942EE">
      <w:r w:rsidRPr="0020652F">
        <w:t xml:space="preserve">Die </w:t>
      </w:r>
      <w:proofErr w:type="spellStart"/>
      <w:proofErr w:type="gramStart"/>
      <w:r w:rsidRPr="0020652F">
        <w:t>Gutachter:innen</w:t>
      </w:r>
      <w:proofErr w:type="spellEnd"/>
      <w:proofErr w:type="gramEnd"/>
      <w:r w:rsidRPr="0020652F">
        <w:t xml:space="preserve"> sehen diese Regelung kritisch, da sie es zum einen als deutliche Herausforderung sehen, wenn Studierende neben ihrem regulären Studium noch Module im Umfang von 18 Leistungspunkten absolvieren und dabei die Regelstudienzeit einhalten sollen. Zum anderen stellen sie sich die Frage, ob die Studierenden tatsächlich alle Lehrveranstaltungen des regulären Studiengangs erfolgreich absolvieren können, wenn sie gleichzeitig Auflagenmodule belegen, um </w:t>
      </w:r>
      <w:r w:rsidR="006F4DDA">
        <w:t xml:space="preserve">erst noch </w:t>
      </w:r>
      <w:r w:rsidRPr="0020652F">
        <w:t xml:space="preserve">die notwendigen Vorkenntnisse zu erwerben. Die Programmverantwortlichen können die Bedenken der </w:t>
      </w:r>
      <w:proofErr w:type="spellStart"/>
      <w:proofErr w:type="gramStart"/>
      <w:r w:rsidRPr="0020652F">
        <w:t>Gutachter:innen</w:t>
      </w:r>
      <w:proofErr w:type="spellEnd"/>
      <w:proofErr w:type="gramEnd"/>
      <w:r w:rsidRPr="0020652F">
        <w:t xml:space="preserve"> nachvollziehen, versichern aber, dass der Einsatz von Auflagenmodulen nur in Ausnahmefällen erfolgen soll bzw. bereits im Auswahlverfahren so vorgegangen werden soll, dass Studierende mit einem solchen Nachholbedarf von 18 </w:t>
      </w:r>
      <w:proofErr w:type="spellStart"/>
      <w:r w:rsidRPr="0020652F">
        <w:t>Credits</w:t>
      </w:r>
      <w:proofErr w:type="spellEnd"/>
      <w:r w:rsidRPr="0020652F">
        <w:t xml:space="preserve"> gar nicht erst zugelassen werden. Angesichts der hohen Anmeldezahlen erscheint es auch realistisch, diesen Fall zu vermeiden. </w:t>
      </w:r>
    </w:p>
    <w:p w14:paraId="4EE98F42" w14:textId="4CF530FA" w:rsidR="007A1A9D" w:rsidRPr="0020652F" w:rsidRDefault="0020652F" w:rsidP="0020652F">
      <w:r w:rsidRPr="0020652F">
        <w:t xml:space="preserve">Die </w:t>
      </w:r>
      <w:proofErr w:type="spellStart"/>
      <w:proofErr w:type="gramStart"/>
      <w:r w:rsidRPr="0020652F">
        <w:t>Gutachter:innen</w:t>
      </w:r>
      <w:proofErr w:type="spellEnd"/>
      <w:proofErr w:type="gramEnd"/>
      <w:r w:rsidRPr="0020652F">
        <w:t xml:space="preserve"> begrüßen, dass die Programmverantwortlichen im Auswahlverfahren darauf achten werden, die Auflagenmodule so gering wie möglich zu halten bzw. Studierende mit größeren Defiziten nicht zuzulassen. Sie halten es jedoch für inakzeptabel, von </w:t>
      </w:r>
      <w:proofErr w:type="spellStart"/>
      <w:proofErr w:type="gramStart"/>
      <w:r w:rsidRPr="0020652F">
        <w:t>Studienanfänger:innen</w:t>
      </w:r>
      <w:proofErr w:type="spellEnd"/>
      <w:proofErr w:type="gramEnd"/>
      <w:r w:rsidRPr="0020652F">
        <w:t xml:space="preserve"> eines englischsprachigen Studiengangs, der ebenfalls keine Deutschkenntnisse voraussetzt, zu verlangen, spezifische Auflagenmodule auf Deutsch zu absolvieren oder, wie in den weiteren Erläuterungen zur PO empfohlen, sich speziell für diese Pflichtmodule „eigenverantwortlich deutsche Sprachkenntnisse auf dem Niveau B2 anzueignen“. Sie sind der Auffassung, dass entsprechend dem englischsprachigen </w:t>
      </w:r>
      <w:proofErr w:type="spellStart"/>
      <w:r w:rsidRPr="0020652F">
        <w:t>Studiengangskonzept</w:t>
      </w:r>
      <w:proofErr w:type="spellEnd"/>
      <w:r w:rsidRPr="0020652F">
        <w:t xml:space="preserve"> und den Zugangsvoraussetzungen, die keine Deutschkenntnisse definieren, sichergestellt werden muss, dass im Falle von expliziten Auflagenmodulen diese auch auf Englisch angeboten werden.</w:t>
      </w:r>
    </w:p>
    <w:p w14:paraId="7129C44B" w14:textId="77777777" w:rsidR="00384515" w:rsidRPr="007B58D9" w:rsidRDefault="00384515" w:rsidP="00384515">
      <w:pPr>
        <w:spacing w:before="0" w:after="120" w:line="240" w:lineRule="auto"/>
        <w:rPr>
          <w:rFonts w:cs="Arial"/>
          <w:szCs w:val="22"/>
        </w:rPr>
      </w:pPr>
    </w:p>
    <w:p w14:paraId="6A5C71F8" w14:textId="77777777" w:rsidR="00F26F20" w:rsidRPr="00FE735A" w:rsidRDefault="00F26F20" w:rsidP="00F26F20">
      <w:pPr>
        <w:pStyle w:val="Bewertung"/>
        <w:rPr>
          <w:rFonts w:ascii="Arial" w:hAnsi="Arial" w:cs="Arial"/>
          <w:i/>
          <w:sz w:val="22"/>
          <w:u w:val="single"/>
        </w:rPr>
      </w:pPr>
      <w:r w:rsidRPr="00FE735A">
        <w:rPr>
          <w:rFonts w:ascii="Arial" w:hAnsi="Arial" w:cs="Arial"/>
          <w:i/>
          <w:sz w:val="22"/>
          <w:u w:val="single"/>
        </w:rPr>
        <w:t>Ergänzung im Zuge der Stellungnahme der Hochschule</w:t>
      </w:r>
    </w:p>
    <w:p w14:paraId="778D39B1" w14:textId="77777777" w:rsidR="00F26F20" w:rsidRDefault="00F26F20" w:rsidP="00F26F20">
      <w:pPr>
        <w:pStyle w:val="Bewertung"/>
        <w:rPr>
          <w:rFonts w:ascii="Arial" w:hAnsi="Arial" w:cs="Arial"/>
          <w:sz w:val="22"/>
        </w:rPr>
      </w:pPr>
      <w:r w:rsidRPr="00FE735A">
        <w:rPr>
          <w:rFonts w:ascii="Arial" w:hAnsi="Arial" w:cs="Arial"/>
          <w:sz w:val="22"/>
        </w:rPr>
        <w:t>[…]</w:t>
      </w:r>
    </w:p>
    <w:p w14:paraId="7FEB2C24" w14:textId="77777777" w:rsidR="00F26F20" w:rsidRPr="00FE735A" w:rsidRDefault="00F26F20" w:rsidP="00F26F20">
      <w:pPr>
        <w:pStyle w:val="Bewertung"/>
        <w:rPr>
          <w:rFonts w:ascii="Arial" w:hAnsi="Arial" w:cs="Arial"/>
          <w:i/>
          <w:sz w:val="22"/>
          <w:u w:val="single"/>
        </w:rPr>
      </w:pPr>
      <w:r>
        <w:rPr>
          <w:rFonts w:ascii="Arial" w:hAnsi="Arial" w:cs="Arial"/>
          <w:i/>
          <w:sz w:val="22"/>
          <w:u w:val="single"/>
        </w:rPr>
        <w:t>Ergänzung in Zuge der Qualitätsverbesserungsschleife</w:t>
      </w:r>
    </w:p>
    <w:p w14:paraId="7C095032" w14:textId="77777777" w:rsidR="00F26F20" w:rsidRDefault="00F26F20" w:rsidP="00F26F20">
      <w:pPr>
        <w:pStyle w:val="Bewertung"/>
        <w:rPr>
          <w:rFonts w:ascii="Arial" w:hAnsi="Arial" w:cs="Arial"/>
          <w:sz w:val="22"/>
        </w:rPr>
      </w:pPr>
      <w:r w:rsidRPr="00FE735A">
        <w:rPr>
          <w:rFonts w:ascii="Arial" w:hAnsi="Arial" w:cs="Arial"/>
          <w:sz w:val="22"/>
        </w:rPr>
        <w:t>[…]</w:t>
      </w:r>
    </w:p>
    <w:p w14:paraId="07C04115" w14:textId="77777777" w:rsidR="001251B2" w:rsidRDefault="001251B2" w:rsidP="001C31ED">
      <w:pPr>
        <w:spacing w:before="0"/>
        <w:rPr>
          <w:rFonts w:cs="Arial"/>
          <w:b/>
          <w:color w:val="A71930"/>
          <w:szCs w:val="22"/>
        </w:rPr>
      </w:pPr>
    </w:p>
    <w:p w14:paraId="0C567665" w14:textId="144A76E7" w:rsidR="00F723CB" w:rsidRPr="00457100" w:rsidRDefault="00F723CB" w:rsidP="001C31ED">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6C08A747" w14:textId="25D3E723" w:rsidR="00F723CB" w:rsidRPr="00FD370C" w:rsidRDefault="00E34524" w:rsidP="001C31ED">
      <w:pPr>
        <w:spacing w:before="0"/>
        <w:rPr>
          <w:rFonts w:cs="Arial"/>
          <w:i/>
          <w:szCs w:val="22"/>
        </w:rPr>
      </w:pPr>
      <w:r>
        <w:rPr>
          <w:rFonts w:cs="Arial"/>
          <w:szCs w:val="22"/>
        </w:rPr>
        <w:t>N</w:t>
      </w:r>
      <w:r w:rsidR="00F723CB" w:rsidRPr="00FD370C">
        <w:rPr>
          <w:rFonts w:cs="Arial"/>
          <w:szCs w:val="22"/>
        </w:rPr>
        <w:t xml:space="preserve">icht erfüllt. </w:t>
      </w:r>
    </w:p>
    <w:p w14:paraId="23063D8A" w14:textId="1D0127B1" w:rsidR="00F723CB" w:rsidRPr="00E34524" w:rsidRDefault="00F723CB" w:rsidP="001C31ED">
      <w:pPr>
        <w:spacing w:before="0"/>
        <w:rPr>
          <w:rFonts w:cs="Arial"/>
          <w:szCs w:val="22"/>
        </w:rPr>
      </w:pPr>
      <w:r w:rsidRPr="00FD370C">
        <w:rPr>
          <w:rFonts w:cs="Arial"/>
          <w:szCs w:val="22"/>
        </w:rPr>
        <w:t xml:space="preserve">Das </w:t>
      </w:r>
      <w:r w:rsidRPr="00E34524">
        <w:rPr>
          <w:rFonts w:cs="Arial"/>
          <w:szCs w:val="22"/>
        </w:rPr>
        <w:t>Gutachtergre</w:t>
      </w:r>
      <w:r w:rsidR="00E34524" w:rsidRPr="00E34524">
        <w:rPr>
          <w:rFonts w:cs="Arial"/>
          <w:szCs w:val="22"/>
        </w:rPr>
        <w:t>mium schlägt folgende Auflage</w:t>
      </w:r>
      <w:r w:rsidRPr="00E34524">
        <w:rPr>
          <w:rFonts w:cs="Arial"/>
          <w:szCs w:val="22"/>
        </w:rPr>
        <w:t xml:space="preserve"> vor:</w:t>
      </w:r>
    </w:p>
    <w:p w14:paraId="5B6CDB4F" w14:textId="77777777" w:rsidR="00C86AD3" w:rsidRPr="00C86AD3" w:rsidRDefault="00C86AD3" w:rsidP="00C86AD3">
      <w:pPr>
        <w:pStyle w:val="Aufzhlung"/>
        <w:rPr>
          <w:rFonts w:ascii="Arial" w:hAnsi="Arial" w:cs="Arial"/>
          <w:sz w:val="22"/>
        </w:rPr>
      </w:pPr>
      <w:r w:rsidRPr="00C86AD3">
        <w:rPr>
          <w:rFonts w:ascii="Arial" w:hAnsi="Arial" w:cs="Arial"/>
          <w:sz w:val="22"/>
        </w:rPr>
        <w:lastRenderedPageBreak/>
        <w:t>Es muss sichergestellt werden, dass die Auflagenmodule in englischer Sprache durchgeführt werden.</w:t>
      </w:r>
    </w:p>
    <w:p w14:paraId="41739C97" w14:textId="7E2B3A69" w:rsidR="00F723CB" w:rsidRPr="00E34524" w:rsidRDefault="00F723CB" w:rsidP="001C31ED">
      <w:pPr>
        <w:spacing w:before="0"/>
        <w:rPr>
          <w:rFonts w:cs="Arial"/>
          <w:szCs w:val="22"/>
        </w:rPr>
      </w:pPr>
      <w:r w:rsidRPr="00E34524">
        <w:rPr>
          <w:rFonts w:cs="Arial"/>
          <w:szCs w:val="22"/>
        </w:rPr>
        <w:t>Das Gutachtergr</w:t>
      </w:r>
      <w:r w:rsidR="00E34524" w:rsidRPr="00E34524">
        <w:rPr>
          <w:rFonts w:cs="Arial"/>
          <w:szCs w:val="22"/>
        </w:rPr>
        <w:t>emium gibt folgende Empfehlung</w:t>
      </w:r>
      <w:r w:rsidRPr="00E34524">
        <w:rPr>
          <w:rFonts w:cs="Arial"/>
          <w:szCs w:val="22"/>
        </w:rPr>
        <w:t>:</w:t>
      </w:r>
    </w:p>
    <w:p w14:paraId="1E4F93C8" w14:textId="753F8C7A" w:rsidR="00D9308A" w:rsidRPr="00E34524" w:rsidRDefault="00D9308A" w:rsidP="00D9308A">
      <w:pPr>
        <w:pStyle w:val="Aufzhlung"/>
        <w:rPr>
          <w:rFonts w:ascii="Arial" w:hAnsi="Arial" w:cs="Arial"/>
          <w:sz w:val="22"/>
        </w:rPr>
      </w:pPr>
      <w:r w:rsidRPr="00E34524">
        <w:rPr>
          <w:rFonts w:ascii="Arial" w:hAnsi="Arial" w:cs="Arial"/>
          <w:sz w:val="22"/>
        </w:rPr>
        <w:t>Es wird empfohlen, Lehrpersonal in den Bereichen Digitaltechnik und digitale Schaltungen einzustellen und Inhalte aus diesen Bereichen in das Curriculum zu integrieren.</w:t>
      </w:r>
    </w:p>
    <w:p w14:paraId="0B4B354F" w14:textId="77777777" w:rsidR="00F723CB" w:rsidRDefault="00F723CB" w:rsidP="001C31ED">
      <w:pPr>
        <w:spacing w:before="0"/>
        <w:jc w:val="left"/>
        <w:rPr>
          <w:rFonts w:cs="Arial"/>
          <w:szCs w:val="22"/>
          <w:lang w:eastAsia="en-US"/>
        </w:rPr>
      </w:pPr>
    </w:p>
    <w:p w14:paraId="010490FA" w14:textId="103017A0" w:rsidR="00D0159E" w:rsidRPr="00D0159E" w:rsidRDefault="00E746E1" w:rsidP="00A968CA">
      <w:pPr>
        <w:pStyle w:val="berschrift4"/>
        <w:spacing w:before="0"/>
      </w:pPr>
      <w:bookmarkStart w:id="38" w:name="_Mobilität_(§_12"/>
      <w:bookmarkStart w:id="39" w:name="_Toc190351703"/>
      <w:bookmarkEnd w:id="38"/>
      <w:r w:rsidRPr="002B74BB">
        <w:t>Mobilität</w:t>
      </w:r>
      <w:r w:rsidR="0020319C" w:rsidRPr="002B74BB">
        <w:t xml:space="preserve"> </w:t>
      </w:r>
      <w:r w:rsidR="0020319C" w:rsidRPr="00D0159E">
        <w:t>(</w:t>
      </w:r>
      <w:r w:rsidR="0020319C" w:rsidRPr="00D0159E">
        <w:rPr>
          <w:rFonts w:cs="Arial"/>
        </w:rPr>
        <w:t xml:space="preserve">§ 12 Abs. 1 Satz 4 </w:t>
      </w:r>
      <w:proofErr w:type="spellStart"/>
      <w:r w:rsidR="00BD500A">
        <w:rPr>
          <w:rFonts w:cs="Arial"/>
        </w:rPr>
        <w:t>StudAkkV</w:t>
      </w:r>
      <w:proofErr w:type="spellEnd"/>
      <w:r w:rsidR="0020319C" w:rsidRPr="00D0159E">
        <w:rPr>
          <w:rFonts w:cs="Arial"/>
        </w:rPr>
        <w:t>)</w:t>
      </w:r>
      <w:bookmarkEnd w:id="39"/>
    </w:p>
    <w:p w14:paraId="273A768D" w14:textId="77777777" w:rsidR="00384515" w:rsidRDefault="00384515" w:rsidP="00384515">
      <w:pPr>
        <w:spacing w:before="0" w:after="120"/>
        <w:rPr>
          <w:rFonts w:cs="Arial"/>
          <w:b/>
          <w:color w:val="A71930"/>
          <w:szCs w:val="22"/>
        </w:rPr>
      </w:pPr>
      <w:r>
        <w:rPr>
          <w:rFonts w:cs="Arial"/>
          <w:b/>
          <w:color w:val="A71930"/>
          <w:szCs w:val="22"/>
        </w:rPr>
        <w:t>Sachstand</w:t>
      </w:r>
    </w:p>
    <w:p w14:paraId="018FC10B" w14:textId="1B778DB2" w:rsidR="00E36F54" w:rsidRDefault="00E36F54" w:rsidP="00E36F54">
      <w:pPr>
        <w:spacing w:before="0" w:after="120"/>
        <w:rPr>
          <w:rFonts w:cs="Arial"/>
          <w:szCs w:val="22"/>
        </w:rPr>
      </w:pPr>
      <w:r w:rsidRPr="00E36F54">
        <w:rPr>
          <w:rFonts w:cs="Arial"/>
          <w:szCs w:val="22"/>
        </w:rPr>
        <w:t xml:space="preserve">Die Hochschule empfiehlt insbesondere das zweite Semester als Mobilitätsfenster. Generelle Voraussetzung für eine Mobilität ist jedoch, dass das Modulangebot der ausländischen Hochschule mit dem der BTU vergleichbar ist. Derzeit gibt es nach Angaben der Hochschulverantwortlichen noch keine spezifischen Kooperationen in diesem Studiengang mit in- oder ausländischen Hochschulen. Die Studierenden können sich jedoch generell an das zentrale International Relations Office und die bestehenden Kooperationspartner der BTU wenden. So unterhält die unter anderem BTU Kooperationen mit der Technischen Universität Poznań (Polen), der Universität Cantabria (Spanien), der Universität Vaasa (Finnland) und dem Polytechnischen Institut Viseu (Portugal). Darüber hinaus weisen die Programmverantwortlichen im Audit darauf hin, dass die Studierenden auch über Forschungskontakte der Lehrenden in verschiedenen Ländern wie Indien, Israel und China Auslandsaufenthalte absolvieren können. Im Selbstbericht gibt die Hochschule an, dass neben einem Auslandssemester auch ein Auslandsaufenthalt zu Forschungszwecken, z.B. im Rahmen des Forschungsmoduls oder der Masterarbeit, möglich ist. </w:t>
      </w:r>
    </w:p>
    <w:p w14:paraId="1BFC71EF" w14:textId="6230B4AA" w:rsidR="00E36F54" w:rsidRDefault="00E36F54" w:rsidP="00E36F54">
      <w:pPr>
        <w:spacing w:before="0" w:after="120"/>
        <w:rPr>
          <w:rFonts w:cs="Arial"/>
          <w:szCs w:val="22"/>
        </w:rPr>
      </w:pPr>
      <w:r>
        <w:rPr>
          <w:rFonts w:cs="Arial"/>
          <w:szCs w:val="22"/>
        </w:rPr>
        <w:t xml:space="preserve">Wie auch bereits in </w:t>
      </w:r>
      <w:r w:rsidRPr="00030E04">
        <w:t xml:space="preserve">Art. 2 Abs. 2 </w:t>
      </w:r>
      <w:proofErr w:type="spellStart"/>
      <w:r w:rsidRPr="00030E04">
        <w:t>StAkkrStV</w:t>
      </w:r>
      <w:proofErr w:type="spellEnd"/>
      <w:r>
        <w:t xml:space="preserve"> </w:t>
      </w:r>
      <w:r>
        <w:rPr>
          <w:rFonts w:cs="Arial"/>
          <w:szCs w:val="22"/>
        </w:rPr>
        <w:t xml:space="preserve">dieses Berichts erläutert, ist im Allgemeinen die </w:t>
      </w:r>
      <w:r w:rsidRPr="00A775BC">
        <w:rPr>
          <w:rFonts w:cs="Arial"/>
          <w:szCs w:val="22"/>
        </w:rPr>
        <w:t xml:space="preserve">Anerkennung von </w:t>
      </w:r>
      <w:r>
        <w:rPr>
          <w:rFonts w:cs="Arial"/>
          <w:szCs w:val="22"/>
        </w:rPr>
        <w:t>erbrachten Leis</w:t>
      </w:r>
      <w:r w:rsidRPr="00A775BC">
        <w:rPr>
          <w:rFonts w:cs="Arial"/>
          <w:szCs w:val="22"/>
        </w:rPr>
        <w:t>tungen an anderen ausländischen Hochschule</w:t>
      </w:r>
      <w:r>
        <w:rPr>
          <w:rFonts w:cs="Arial"/>
          <w:szCs w:val="22"/>
        </w:rPr>
        <w:t xml:space="preserve">n in </w:t>
      </w:r>
      <w:r>
        <w:rPr>
          <w:szCs w:val="22"/>
        </w:rPr>
        <w:t xml:space="preserve">§ 22 der Allgemeinen Prüfungs- und Studienordnung für Masterstudiengänge geregelt. Hier ist auch geregelt, dass Studierende sich für die Anerkennung von Leistungen innerhalb eines Auslandsaufenthaltes </w:t>
      </w:r>
      <w:r>
        <w:rPr>
          <w:rFonts w:cs="Arial"/>
          <w:szCs w:val="22"/>
        </w:rPr>
        <w:t xml:space="preserve">vor Antritt des Auslandssemesters ein Learning Agreement von dem Prüfungsausschuss bestätigen lassen müssen. </w:t>
      </w:r>
    </w:p>
    <w:p w14:paraId="03529119" w14:textId="77777777" w:rsidR="00384515" w:rsidRDefault="00384515" w:rsidP="00384515">
      <w:pPr>
        <w:spacing w:before="0" w:after="120" w:line="240" w:lineRule="auto"/>
        <w:rPr>
          <w:rFonts w:cs="Arial"/>
          <w:b/>
          <w:color w:val="A71930"/>
          <w:szCs w:val="22"/>
        </w:rPr>
      </w:pPr>
      <w:r w:rsidRPr="00457100">
        <w:rPr>
          <w:rFonts w:cs="Arial"/>
          <w:b/>
          <w:color w:val="A71930"/>
          <w:szCs w:val="22"/>
        </w:rPr>
        <w:t>Bewertung: Stärken und Entwicklungsbedarf</w:t>
      </w:r>
    </w:p>
    <w:p w14:paraId="4D024400" w14:textId="77777777" w:rsidR="00E36F54" w:rsidRDefault="00E36F54" w:rsidP="00A968CA">
      <w:r w:rsidRPr="00E36F54">
        <w:t xml:space="preserve">Die </w:t>
      </w:r>
      <w:proofErr w:type="spellStart"/>
      <w:proofErr w:type="gramStart"/>
      <w:r w:rsidRPr="00E36F54">
        <w:t>Gutachter:innen</w:t>
      </w:r>
      <w:proofErr w:type="spellEnd"/>
      <w:proofErr w:type="gramEnd"/>
      <w:r w:rsidRPr="00E36F54">
        <w:t xml:space="preserve"> sind der Ansicht, dass die BTU geeignete Angebote und Möglichkeiten bereitstellt, die die Studierenden bei der Planung und Durchführung eines Auslandsaufenthaltes ausreichend unterstützen. Dass es im neuen Studiengang noch keine spezifischen Kooperationen gibt, sehen die </w:t>
      </w:r>
      <w:proofErr w:type="spellStart"/>
      <w:proofErr w:type="gramStart"/>
      <w:r w:rsidRPr="00E36F54">
        <w:t>Gutachter:innen</w:t>
      </w:r>
      <w:proofErr w:type="spellEnd"/>
      <w:proofErr w:type="gramEnd"/>
      <w:r w:rsidRPr="00E36F54">
        <w:t xml:space="preserve"> als nicht weiter kritisch an, da die Studierenden auch auf das gesamte Mobilitätsportfolio der BTU zurückgreifen können und die Programmverantwortlichen darüber hinaus ihre Unterstützung signalisiert haben, den Studierenden über ihre Forschungskontakte zu einem geeigneten Auslandsaufenthalt zu verhelfen. Die </w:t>
      </w:r>
      <w:proofErr w:type="spellStart"/>
      <w:proofErr w:type="gramStart"/>
      <w:r w:rsidRPr="00E36F54">
        <w:t>Gutachter:innen</w:t>
      </w:r>
      <w:proofErr w:type="spellEnd"/>
      <w:proofErr w:type="gramEnd"/>
      <w:r w:rsidRPr="00E36F54">
        <w:t xml:space="preserve"> können dar</w:t>
      </w:r>
      <w:r w:rsidRPr="00E36F54">
        <w:lastRenderedPageBreak/>
        <w:t xml:space="preserve">über hinaus nachvollziehen, dass aufgrund des voraussichtlich weiterhin hohen Anteils ausländischer Studierender die Mobilität von der BTU zwar deutlich gefördert und unterstützt, aber nicht in den Vordergrund gestellt wird. </w:t>
      </w:r>
    </w:p>
    <w:p w14:paraId="7EA5384F" w14:textId="6C17AC77" w:rsidR="00A968CA" w:rsidRPr="007B58D9" w:rsidRDefault="00A968CA" w:rsidP="00A968CA">
      <w:r w:rsidRPr="00A968CA">
        <w:t xml:space="preserve">Die </w:t>
      </w:r>
      <w:proofErr w:type="spellStart"/>
      <w:proofErr w:type="gramStart"/>
      <w:r w:rsidRPr="00A968CA">
        <w:t>Gutachter:innen</w:t>
      </w:r>
      <w:proofErr w:type="spellEnd"/>
      <w:proofErr w:type="gramEnd"/>
      <w:r w:rsidRPr="00A968CA">
        <w:t xml:space="preserve"> nehmen die zentralen Regelungen an der BTU zur Anerkennung von an anderen Hochschulen erworbenen Leistungen zur Kenntnis und erachten diese als konform mit der Lissabon-Konvention. Studierende verwandter Studiengänge bestätigen im Audit, dass ihnen keine Probleme bei der Anrechnung bekannt sind.</w:t>
      </w:r>
    </w:p>
    <w:p w14:paraId="4E3CBB90" w14:textId="77777777" w:rsidR="00F26F20" w:rsidRPr="00FE735A" w:rsidRDefault="00F26F20" w:rsidP="00F26F20">
      <w:pPr>
        <w:pStyle w:val="Bewertung"/>
        <w:rPr>
          <w:rFonts w:ascii="Arial" w:hAnsi="Arial" w:cs="Arial"/>
          <w:i/>
          <w:sz w:val="22"/>
          <w:u w:val="single"/>
        </w:rPr>
      </w:pPr>
      <w:r w:rsidRPr="00FE735A">
        <w:rPr>
          <w:rFonts w:ascii="Arial" w:hAnsi="Arial" w:cs="Arial"/>
          <w:i/>
          <w:sz w:val="22"/>
          <w:u w:val="single"/>
        </w:rPr>
        <w:t>Ergänzung im Zuge der Stellungnahme der Hochschule</w:t>
      </w:r>
    </w:p>
    <w:p w14:paraId="0AF465D9" w14:textId="77777777" w:rsidR="00F26F20" w:rsidRDefault="00F26F20" w:rsidP="00F26F20">
      <w:pPr>
        <w:pStyle w:val="Bewertung"/>
        <w:rPr>
          <w:rFonts w:ascii="Arial" w:hAnsi="Arial" w:cs="Arial"/>
          <w:sz w:val="22"/>
        </w:rPr>
      </w:pPr>
      <w:r w:rsidRPr="00FE735A">
        <w:rPr>
          <w:rFonts w:ascii="Arial" w:hAnsi="Arial" w:cs="Arial"/>
          <w:sz w:val="22"/>
        </w:rPr>
        <w:t>[…]</w:t>
      </w:r>
    </w:p>
    <w:p w14:paraId="5CF3E3D6" w14:textId="77777777" w:rsidR="00F26F20" w:rsidRPr="00FE735A" w:rsidRDefault="00F26F20" w:rsidP="00F26F20">
      <w:pPr>
        <w:pStyle w:val="Bewertung"/>
        <w:rPr>
          <w:rFonts w:ascii="Arial" w:hAnsi="Arial" w:cs="Arial"/>
          <w:i/>
          <w:sz w:val="22"/>
          <w:u w:val="single"/>
        </w:rPr>
      </w:pPr>
      <w:r>
        <w:rPr>
          <w:rFonts w:ascii="Arial" w:hAnsi="Arial" w:cs="Arial"/>
          <w:i/>
          <w:sz w:val="22"/>
          <w:u w:val="single"/>
        </w:rPr>
        <w:t>Ergänzung in Zuge der Qualitätsverbesserungsschleife</w:t>
      </w:r>
    </w:p>
    <w:p w14:paraId="137876D1" w14:textId="77777777" w:rsidR="00F26F20" w:rsidRDefault="00F26F20" w:rsidP="00F26F20">
      <w:pPr>
        <w:pStyle w:val="Bewertung"/>
        <w:rPr>
          <w:rFonts w:ascii="Arial" w:hAnsi="Arial" w:cs="Arial"/>
          <w:sz w:val="22"/>
        </w:rPr>
      </w:pPr>
      <w:r w:rsidRPr="00FE735A">
        <w:rPr>
          <w:rFonts w:ascii="Arial" w:hAnsi="Arial" w:cs="Arial"/>
          <w:sz w:val="22"/>
        </w:rPr>
        <w:t>[…]</w:t>
      </w:r>
    </w:p>
    <w:p w14:paraId="0F72DCE3" w14:textId="77777777" w:rsidR="00F723CB" w:rsidRPr="002B74BB" w:rsidRDefault="00F723CB" w:rsidP="001C31ED">
      <w:pPr>
        <w:spacing w:before="0"/>
        <w:rPr>
          <w:rFonts w:cs="Arial"/>
          <w:color w:val="A71930"/>
          <w:szCs w:val="22"/>
        </w:rPr>
      </w:pPr>
      <w:r w:rsidRPr="002B74BB">
        <w:rPr>
          <w:rFonts w:cs="Arial"/>
          <w:b/>
          <w:color w:val="A71930"/>
          <w:szCs w:val="22"/>
        </w:rPr>
        <w:t>Entscheidungsvorschlag</w:t>
      </w:r>
    </w:p>
    <w:p w14:paraId="0809E2FA" w14:textId="3442FDE6" w:rsidR="00F723CB" w:rsidRPr="002B74BB" w:rsidRDefault="00F723CB" w:rsidP="00A968CA">
      <w:pPr>
        <w:spacing w:before="0"/>
        <w:rPr>
          <w:rFonts w:cs="Arial"/>
          <w:szCs w:val="22"/>
        </w:rPr>
      </w:pPr>
      <w:r w:rsidRPr="002B74BB">
        <w:rPr>
          <w:rFonts w:cs="Arial"/>
          <w:szCs w:val="22"/>
        </w:rPr>
        <w:t>Erfüllt</w:t>
      </w:r>
      <w:r w:rsidR="00A968CA">
        <w:rPr>
          <w:rFonts w:cs="Arial"/>
          <w:szCs w:val="22"/>
        </w:rPr>
        <w:t>.</w:t>
      </w:r>
    </w:p>
    <w:p w14:paraId="7E5535C2" w14:textId="77777777" w:rsidR="00745CCA" w:rsidRPr="002B74BB" w:rsidRDefault="00745CCA" w:rsidP="001C31ED">
      <w:pPr>
        <w:spacing w:before="0"/>
        <w:rPr>
          <w:rFonts w:cs="Arial"/>
          <w:szCs w:val="22"/>
          <w:lang w:eastAsia="en-US"/>
        </w:rPr>
      </w:pPr>
    </w:p>
    <w:p w14:paraId="460229BF" w14:textId="6CF61DF5" w:rsidR="00D0159E" w:rsidRPr="00D0159E" w:rsidRDefault="00E746E1" w:rsidP="00D823F1">
      <w:pPr>
        <w:pStyle w:val="berschrift4"/>
        <w:spacing w:before="0"/>
      </w:pPr>
      <w:bookmarkStart w:id="40" w:name="_Personelle_Ausstattung_(§"/>
      <w:bookmarkStart w:id="41" w:name="_Toc190351704"/>
      <w:bookmarkEnd w:id="40"/>
      <w:r w:rsidRPr="002B74BB">
        <w:t>Personelle Ausstattung</w:t>
      </w:r>
      <w:r w:rsidR="00251493" w:rsidRPr="002B74BB">
        <w:t xml:space="preserve"> </w:t>
      </w:r>
      <w:r w:rsidR="00251493" w:rsidRPr="00D0159E">
        <w:t>(</w:t>
      </w:r>
      <w:r w:rsidR="00251493" w:rsidRPr="00D0159E">
        <w:rPr>
          <w:rFonts w:cs="Arial"/>
        </w:rPr>
        <w:t xml:space="preserve">§ 12 Abs. 2 </w:t>
      </w:r>
      <w:proofErr w:type="spellStart"/>
      <w:r w:rsidR="00BD500A">
        <w:rPr>
          <w:rFonts w:cs="Arial"/>
        </w:rPr>
        <w:t>StudAkkV</w:t>
      </w:r>
      <w:proofErr w:type="spellEnd"/>
      <w:r w:rsidR="00251493" w:rsidRPr="00D0159E">
        <w:rPr>
          <w:rFonts w:cs="Arial"/>
        </w:rPr>
        <w:t>)</w:t>
      </w:r>
      <w:bookmarkEnd w:id="41"/>
    </w:p>
    <w:p w14:paraId="5C086F28" w14:textId="77777777" w:rsidR="00384515" w:rsidRDefault="00384515" w:rsidP="00384515">
      <w:pPr>
        <w:spacing w:before="0" w:after="120"/>
        <w:rPr>
          <w:rFonts w:cs="Arial"/>
          <w:b/>
          <w:color w:val="A71930"/>
          <w:szCs w:val="22"/>
        </w:rPr>
      </w:pPr>
      <w:r>
        <w:rPr>
          <w:rFonts w:cs="Arial"/>
          <w:b/>
          <w:color w:val="A71930"/>
          <w:szCs w:val="22"/>
        </w:rPr>
        <w:t>Sachstand</w:t>
      </w:r>
    </w:p>
    <w:p w14:paraId="0A2D10FB" w14:textId="77777777" w:rsidR="004A5B33" w:rsidRPr="004A5B33" w:rsidRDefault="004A5B33" w:rsidP="004A5B33">
      <w:r w:rsidRPr="004A5B33">
        <w:t xml:space="preserve">Das Lehrangebot des Masterstudiengangs Micro- </w:t>
      </w:r>
      <w:proofErr w:type="spellStart"/>
      <w:r w:rsidRPr="004A5B33">
        <w:t>and</w:t>
      </w:r>
      <w:proofErr w:type="spellEnd"/>
      <w:r w:rsidRPr="004A5B33">
        <w:t xml:space="preserve"> </w:t>
      </w:r>
      <w:proofErr w:type="spellStart"/>
      <w:r w:rsidRPr="004A5B33">
        <w:t>Nanoelectronics</w:t>
      </w:r>
      <w:proofErr w:type="spellEnd"/>
      <w:r w:rsidRPr="004A5B33">
        <w:t xml:space="preserve"> wird von Fachgebieten des Instituts für Physik und des Instituts für Elektrotechnik und Informationstechnik der BTU Cottbus-Senftenberg getragen. Beide Institute gehören zur Fakultät 1 MINT (Mathematik, Informatik, Naturwissenschaften und Technik).</w:t>
      </w:r>
    </w:p>
    <w:p w14:paraId="308606CD" w14:textId="77777777" w:rsidR="004A5B33" w:rsidRDefault="004A5B33" w:rsidP="004A5B33">
      <w:r w:rsidRPr="004A5B33">
        <w:t>Das Institut für Physik umfasst derzeit vier Professuren, ergänzt durch eine weitere Professur, die gemeinsam mit dem Fraunhofer IPMS berufen wurde. Insgesamt tragen diese fünf Professuren mit 40 Semesterwochenstunden (SWS) zur Lehre bei. Hinzu kommen zwei weitere Professuren, die gemeinsam mit dem Leibniz-Institut für innovative Mikroelektronik (IHP) und dem Leibniz-Institut für Kristallzüchtung (IKZ) Berlin besetzt sind. Diese tragen jeweils 2 SWS zum Lehrangebot bei. Eine dieser Berufungen (für den Bereich Nanostrukturen, 2D-Systeme und Schichten) ist noch nicht</w:t>
      </w:r>
      <w:r>
        <w:t xml:space="preserve"> abgeschlossen.</w:t>
      </w:r>
    </w:p>
    <w:p w14:paraId="06B091A1" w14:textId="606055CA" w:rsidR="004A5B33" w:rsidRDefault="004A5B33" w:rsidP="004A5B33">
      <w:r w:rsidRPr="004A5B33">
        <w:t xml:space="preserve">Insgesamt sind fünf Professuren am Institut für Elektrotechnik und Informationstechnik angesiedelt. Hinzu kommt eine Stiftungsprofessur. Damit umfasst das Institut derzeit sechs Professuren mit einer </w:t>
      </w:r>
      <w:r>
        <w:t xml:space="preserve">Gesamtlehrkapazität von 48 SWS. </w:t>
      </w:r>
      <w:r w:rsidRPr="004A5B33">
        <w:t xml:space="preserve">Darüber hinaus erweitern drei weitere Professuren das Lehrangebot im Wahlpflichtbereich. Diese wurden gemeinsam mit dem Fraunhofer IZM, dem IHP sowie dem Fraunhofer IKTS berufen und tragen mit insgesamt 6 SWS zur Lehre bei. Darüber hinaus ist eine weitere gemeinsame Berufung mit dem Ferdinand-Braun-Institut im Bereich </w:t>
      </w:r>
      <w:proofErr w:type="spellStart"/>
      <w:r w:rsidRPr="004A5B33">
        <w:t>Terahertz</w:t>
      </w:r>
      <w:proofErr w:type="spellEnd"/>
      <w:r w:rsidRPr="004A5B33">
        <w:t>-Komponenten und -Sensorik in Planung.</w:t>
      </w:r>
    </w:p>
    <w:p w14:paraId="5AE06723" w14:textId="5B4E0612" w:rsidR="004A5B33" w:rsidRDefault="004A5B33" w:rsidP="004A5B33">
      <w:r w:rsidRPr="004A5B33">
        <w:lastRenderedPageBreak/>
        <w:t xml:space="preserve">Die Lehre im Masterstudiengang Micro- </w:t>
      </w:r>
      <w:proofErr w:type="spellStart"/>
      <w:r w:rsidRPr="004A5B33">
        <w:t>and</w:t>
      </w:r>
      <w:proofErr w:type="spellEnd"/>
      <w:r w:rsidRPr="004A5B33">
        <w:t xml:space="preserve"> </w:t>
      </w:r>
      <w:proofErr w:type="spellStart"/>
      <w:r w:rsidRPr="004A5B33">
        <w:t>Nanoelectronics</w:t>
      </w:r>
      <w:proofErr w:type="spellEnd"/>
      <w:r w:rsidRPr="004A5B33">
        <w:t xml:space="preserve"> wird von vier Professuren des Instituts für Physik und vier Professuren des Instituts für Elektrotechnik und Informationstechnik abgedeckt.</w:t>
      </w:r>
      <w:r w:rsidR="0059456B">
        <w:t xml:space="preserve"> </w:t>
      </w:r>
      <w:r w:rsidRPr="004A5B33">
        <w:t xml:space="preserve">Zusätzlich tragen </w:t>
      </w:r>
      <w:proofErr w:type="spellStart"/>
      <w:proofErr w:type="gramStart"/>
      <w:r w:rsidRPr="004A5B33">
        <w:t>Privatdozent:innen</w:t>
      </w:r>
      <w:proofErr w:type="spellEnd"/>
      <w:proofErr w:type="gramEnd"/>
      <w:r w:rsidRPr="004A5B33">
        <w:t xml:space="preserve"> und </w:t>
      </w:r>
      <w:proofErr w:type="spellStart"/>
      <w:r w:rsidRPr="004A5B33">
        <w:t>Habilitand:innen</w:t>
      </w:r>
      <w:proofErr w:type="spellEnd"/>
      <w:r w:rsidRPr="004A5B33">
        <w:t xml:space="preserve"> zum Lehrangebot bei. Ein Beispiel ist das Modul </w:t>
      </w:r>
      <w:proofErr w:type="spellStart"/>
      <w:r w:rsidRPr="004A5B33">
        <w:t>Advanced</w:t>
      </w:r>
      <w:proofErr w:type="spellEnd"/>
      <w:r w:rsidRPr="004A5B33">
        <w:t xml:space="preserve"> Micro- </w:t>
      </w:r>
      <w:proofErr w:type="spellStart"/>
      <w:r w:rsidRPr="004A5B33">
        <w:t>and</w:t>
      </w:r>
      <w:proofErr w:type="spellEnd"/>
      <w:r w:rsidRPr="004A5B33">
        <w:t xml:space="preserve"> </w:t>
      </w:r>
      <w:proofErr w:type="spellStart"/>
      <w:r w:rsidRPr="004A5B33">
        <w:t>Nanoelectronic</w:t>
      </w:r>
      <w:proofErr w:type="spellEnd"/>
      <w:r w:rsidRPr="004A5B33">
        <w:t xml:space="preserve"> Devices, das von einem am IHP tätigen Dozenten betreut wird. Außerdem haben </w:t>
      </w:r>
      <w:proofErr w:type="spellStart"/>
      <w:proofErr w:type="gramStart"/>
      <w:r w:rsidRPr="004A5B33">
        <w:t>Professor:innen</w:t>
      </w:r>
      <w:proofErr w:type="spellEnd"/>
      <w:proofErr w:type="gramEnd"/>
      <w:r w:rsidRPr="004A5B33">
        <w:t xml:space="preserve"> der BTU in der Regel eine wissenschaftliche Mitarbeiterstelle mit einer Lehrverpflichtung von 4 SWS, wodurch wissenschaftliche </w:t>
      </w:r>
      <w:proofErr w:type="spellStart"/>
      <w:r w:rsidRPr="004A5B33">
        <w:t>Mitarbeiter:innen</w:t>
      </w:r>
      <w:proofErr w:type="spellEnd"/>
      <w:r w:rsidRPr="004A5B33">
        <w:t xml:space="preserve"> ebenfalls in die Lehre des Studiengangs eingebunden werden.</w:t>
      </w:r>
    </w:p>
    <w:p w14:paraId="7F129E7F" w14:textId="2AEA0308" w:rsidR="004A5B33" w:rsidRPr="007B58D9" w:rsidRDefault="0059456B" w:rsidP="004A5B33">
      <w:r w:rsidRPr="0059456B">
        <w:t>Den Lehrenden der Fakultät 1 MINT stehen laut Selbstbericht verschiedene Möglichkeiten der wissenschaftlichen und didaktischen Weiterbildung zur Verfügung. Im Bereich der Didaktik können sie an speziellen Fortbildungen zum Einsatz elektronischer Medien sowie zu kompetenzorientierten Lehrmethoden teilnehmen. Diese Schulungen werden unter anderem vom Multimediazentrum (MMZ) der BTU und dem Netzwerk Studienqualität Brandenburg (</w:t>
      </w:r>
      <w:proofErr w:type="spellStart"/>
      <w:r w:rsidRPr="0059456B">
        <w:t>sqb</w:t>
      </w:r>
      <w:proofErr w:type="spellEnd"/>
      <w:r w:rsidRPr="0059456B">
        <w:t>) in Potsdam angeboten. Die fachlich-wissenschaftliche Weiterbildung erfolgt vor allem durch die Beteiligung der Lehrenden an Forschungsaktivitäten. Dazu gehören die Teilnahme an nationalen und internationalen Konferenzen und Workshops, die Mitarbeit in Forschungsnetzwerken sowie die Mitherausgeberschaft in in</w:t>
      </w:r>
      <w:r>
        <w:t>ternationalen Fachzeitschriften</w:t>
      </w:r>
      <w:r w:rsidR="004A5B33">
        <w:t xml:space="preserve">. </w:t>
      </w:r>
    </w:p>
    <w:p w14:paraId="076F1780" w14:textId="77777777" w:rsidR="00D823F1" w:rsidRDefault="00D823F1" w:rsidP="00384515">
      <w:pPr>
        <w:spacing w:before="0" w:after="120" w:line="240" w:lineRule="auto"/>
        <w:rPr>
          <w:rFonts w:cs="Arial"/>
          <w:b/>
          <w:color w:val="A71930"/>
          <w:szCs w:val="22"/>
        </w:rPr>
      </w:pPr>
    </w:p>
    <w:p w14:paraId="7721308E" w14:textId="5D4A536B" w:rsidR="00384515" w:rsidRDefault="00384515" w:rsidP="00384515">
      <w:pPr>
        <w:spacing w:before="0" w:after="120" w:line="240" w:lineRule="auto"/>
        <w:rPr>
          <w:rFonts w:cs="Arial"/>
          <w:b/>
          <w:color w:val="A71930"/>
          <w:szCs w:val="22"/>
        </w:rPr>
      </w:pPr>
      <w:r w:rsidRPr="00457100">
        <w:rPr>
          <w:rFonts w:cs="Arial"/>
          <w:b/>
          <w:color w:val="A71930"/>
          <w:szCs w:val="22"/>
        </w:rPr>
        <w:t>Bewertung: Stärken und Entwicklungsbedarf</w:t>
      </w:r>
    </w:p>
    <w:p w14:paraId="34119B91" w14:textId="77777777" w:rsidR="00D823F1" w:rsidRDefault="0059456B" w:rsidP="00384515">
      <w:pPr>
        <w:spacing w:before="0" w:after="120"/>
      </w:pPr>
      <w:r w:rsidRPr="0032160C">
        <w:t xml:space="preserve">Nach Durchsicht der von der </w:t>
      </w:r>
      <w:r>
        <w:t>Universität</w:t>
      </w:r>
      <w:r w:rsidRPr="0032160C">
        <w:t xml:space="preserve"> vorgelegten Dokumente und Gesprächen mit Programmverantwortlichen, Lehrenden und Studierenden stellen die </w:t>
      </w:r>
      <w:proofErr w:type="spellStart"/>
      <w:proofErr w:type="gramStart"/>
      <w:r w:rsidRPr="0032160C">
        <w:t>Gutachter:innen</w:t>
      </w:r>
      <w:proofErr w:type="spellEnd"/>
      <w:proofErr w:type="gramEnd"/>
      <w:r w:rsidRPr="0032160C">
        <w:t xml:space="preserve"> fest, dass das Studienprogramm mit dem zur Verfügung stehenden Personal ohne Überlast betrieben werden kann. Anhand der Angaben im Personalhandbuch erkennen die </w:t>
      </w:r>
      <w:proofErr w:type="spellStart"/>
      <w:proofErr w:type="gramStart"/>
      <w:r w:rsidRPr="0032160C">
        <w:t>Gutachter:innen</w:t>
      </w:r>
      <w:proofErr w:type="spellEnd"/>
      <w:proofErr w:type="gramEnd"/>
      <w:r w:rsidRPr="0032160C">
        <w:t xml:space="preserve">, dass die fachliche Ausrichtung und die Forschungsschwerpunkte des am Studiengang beteiligten Personals fachlich geeignet sind, </w:t>
      </w:r>
      <w:r>
        <w:t xml:space="preserve">um </w:t>
      </w:r>
      <w:r w:rsidRPr="0032160C">
        <w:t xml:space="preserve">die angestrebten Qualifikationsziele auf hohem Niveau umzusetzen. </w:t>
      </w:r>
    </w:p>
    <w:p w14:paraId="129A1810" w14:textId="79851E4C" w:rsidR="00D823F1" w:rsidRDefault="00D823F1" w:rsidP="00D823F1">
      <w:r w:rsidRPr="00D823F1">
        <w:t xml:space="preserve">Wie bereits in Kapitel § 12 Abs. 1 Sätze 1 bis 3 und 5 </w:t>
      </w:r>
      <w:proofErr w:type="spellStart"/>
      <w:r w:rsidRPr="00D823F1">
        <w:t>StudAkkV</w:t>
      </w:r>
      <w:proofErr w:type="spellEnd"/>
      <w:r w:rsidRPr="00D823F1">
        <w:t xml:space="preserve"> dieses Gutachtens dargestellt, empfehlen die </w:t>
      </w:r>
      <w:proofErr w:type="spellStart"/>
      <w:proofErr w:type="gramStart"/>
      <w:r w:rsidRPr="00D823F1">
        <w:t>Gutachter:innen</w:t>
      </w:r>
      <w:proofErr w:type="spellEnd"/>
      <w:proofErr w:type="gramEnd"/>
      <w:r w:rsidRPr="00D823F1">
        <w:t xml:space="preserve"> jedoch die Einstellung von Lehrpersonal in den Bereichen Digitaltechnik und Digitale Schaltungstechnik, da sie diese Themengebiete im Zusammenhang mit der Mikro- und Nanoelektronik für relevant halten und </w:t>
      </w:r>
      <w:r w:rsidR="00F33389">
        <w:t>die</w:t>
      </w:r>
      <w:r w:rsidR="00F33389" w:rsidRPr="00F33389">
        <w:t xml:space="preserve"> </w:t>
      </w:r>
      <w:r w:rsidR="00F33389" w:rsidRPr="00D823F1">
        <w:t>derzeit</w:t>
      </w:r>
      <w:r w:rsidR="00F33389">
        <w:t>igen</w:t>
      </w:r>
      <w:r w:rsidRPr="00D823F1">
        <w:t xml:space="preserve"> Lehrenden </w:t>
      </w:r>
      <w:r w:rsidR="00BA4FDF" w:rsidRPr="00D823F1">
        <w:t>an der BTU</w:t>
      </w:r>
      <w:r w:rsidR="00BA4FDF">
        <w:t xml:space="preserve"> </w:t>
      </w:r>
      <w:r w:rsidR="00F33389">
        <w:t>nur wenig</w:t>
      </w:r>
      <w:r w:rsidRPr="00D823F1">
        <w:t xml:space="preserve"> Expertise in diesen Bereichen </w:t>
      </w:r>
      <w:r w:rsidR="00F33389">
        <w:t>besitzen</w:t>
      </w:r>
      <w:r w:rsidRPr="00D823F1">
        <w:t xml:space="preserve">. Die </w:t>
      </w:r>
      <w:proofErr w:type="spellStart"/>
      <w:proofErr w:type="gramStart"/>
      <w:r w:rsidRPr="00D823F1">
        <w:t>Gutachter:innen</w:t>
      </w:r>
      <w:proofErr w:type="spellEnd"/>
      <w:proofErr w:type="gramEnd"/>
      <w:r w:rsidRPr="00D823F1">
        <w:t xml:space="preserve"> sind der Meinung, dass das Hinzuziehen von Lehrenden mit Expertise in diesen Bereichen und die entsprechende Integration dieser Gebiete in das Curriculum den Studiengang </w:t>
      </w:r>
      <w:r>
        <w:t>zusätzlich</w:t>
      </w:r>
      <w:r w:rsidRPr="00D823F1">
        <w:t xml:space="preserve"> bereichern würde.</w:t>
      </w:r>
    </w:p>
    <w:p w14:paraId="6600D9A1" w14:textId="671BFE8E" w:rsidR="00384515" w:rsidRPr="007B58D9" w:rsidRDefault="00D823F1" w:rsidP="00D823F1">
      <w:pPr>
        <w:rPr>
          <w:rFonts w:cs="Arial"/>
          <w:szCs w:val="22"/>
        </w:rPr>
      </w:pPr>
      <w:r w:rsidRPr="00D823F1">
        <w:t>Hinsichtlich der Weiterbildung und Qualifizierung geben die Lehrenden im Audit an, dass sie das didaktische Weiterbildungsangebot schätzen und bei Bedarf nutzen. Darüber hinaus nehmen die Lehrenden häufig an Fachtagungen und Konferenzen teil. Auch die Studierenden äußern sich im Audit sehr zufrieden über die Qualität der Lehre und die umfassende Betreuung durch die Lehrenden.</w:t>
      </w:r>
    </w:p>
    <w:p w14:paraId="49A9DEB0" w14:textId="77777777" w:rsidR="00F26F20" w:rsidRPr="00FE735A" w:rsidRDefault="00F26F20" w:rsidP="00F26F20">
      <w:pPr>
        <w:pStyle w:val="Bewertung"/>
        <w:rPr>
          <w:rFonts w:ascii="Arial" w:hAnsi="Arial" w:cs="Arial"/>
          <w:i/>
          <w:sz w:val="22"/>
          <w:u w:val="single"/>
        </w:rPr>
      </w:pPr>
      <w:r w:rsidRPr="00FE735A">
        <w:rPr>
          <w:rFonts w:ascii="Arial" w:hAnsi="Arial" w:cs="Arial"/>
          <w:i/>
          <w:sz w:val="22"/>
          <w:u w:val="single"/>
        </w:rPr>
        <w:lastRenderedPageBreak/>
        <w:t>Ergänzung im Zuge der Stellungnahme der Hochschule</w:t>
      </w:r>
    </w:p>
    <w:p w14:paraId="14D0E0AE" w14:textId="77777777" w:rsidR="00F26F20" w:rsidRDefault="00F26F20" w:rsidP="00F26F20">
      <w:pPr>
        <w:pStyle w:val="Bewertung"/>
        <w:rPr>
          <w:rFonts w:ascii="Arial" w:hAnsi="Arial" w:cs="Arial"/>
          <w:sz w:val="22"/>
        </w:rPr>
      </w:pPr>
      <w:r w:rsidRPr="00FE735A">
        <w:rPr>
          <w:rFonts w:ascii="Arial" w:hAnsi="Arial" w:cs="Arial"/>
          <w:sz w:val="22"/>
        </w:rPr>
        <w:t>[…]</w:t>
      </w:r>
    </w:p>
    <w:p w14:paraId="2C48256A" w14:textId="77777777" w:rsidR="00F26F20" w:rsidRPr="00FE735A" w:rsidRDefault="00F26F20" w:rsidP="00F26F20">
      <w:pPr>
        <w:pStyle w:val="Bewertung"/>
        <w:rPr>
          <w:rFonts w:ascii="Arial" w:hAnsi="Arial" w:cs="Arial"/>
          <w:i/>
          <w:sz w:val="22"/>
          <w:u w:val="single"/>
        </w:rPr>
      </w:pPr>
      <w:r>
        <w:rPr>
          <w:rFonts w:ascii="Arial" w:hAnsi="Arial" w:cs="Arial"/>
          <w:i/>
          <w:sz w:val="22"/>
          <w:u w:val="single"/>
        </w:rPr>
        <w:t>Ergänzung in Zuge der Qualitätsverbesserungsschleife</w:t>
      </w:r>
    </w:p>
    <w:p w14:paraId="66D021CE" w14:textId="77777777" w:rsidR="00F26F20" w:rsidRDefault="00F26F20" w:rsidP="00F26F20">
      <w:pPr>
        <w:pStyle w:val="Bewertung"/>
        <w:rPr>
          <w:rFonts w:ascii="Arial" w:hAnsi="Arial" w:cs="Arial"/>
          <w:sz w:val="22"/>
        </w:rPr>
      </w:pPr>
      <w:r w:rsidRPr="00FE735A">
        <w:rPr>
          <w:rFonts w:ascii="Arial" w:hAnsi="Arial" w:cs="Arial"/>
          <w:sz w:val="22"/>
        </w:rPr>
        <w:t>[…]</w:t>
      </w:r>
    </w:p>
    <w:p w14:paraId="59ADD4EB" w14:textId="77777777" w:rsidR="00F723CB" w:rsidRPr="002B74BB" w:rsidRDefault="00F723CB" w:rsidP="001C31ED">
      <w:pPr>
        <w:spacing w:before="0"/>
        <w:rPr>
          <w:rFonts w:cs="Arial"/>
          <w:color w:val="A71930"/>
          <w:szCs w:val="22"/>
        </w:rPr>
      </w:pPr>
      <w:r w:rsidRPr="002B74BB">
        <w:rPr>
          <w:rFonts w:cs="Arial"/>
          <w:b/>
          <w:color w:val="A71930"/>
          <w:szCs w:val="22"/>
        </w:rPr>
        <w:t>Entscheidungsvorschlag</w:t>
      </w:r>
    </w:p>
    <w:p w14:paraId="0C1E671E" w14:textId="2CD372BE" w:rsidR="00F723CB" w:rsidRPr="002B74BB" w:rsidRDefault="00F723CB" w:rsidP="00D823F1">
      <w:pPr>
        <w:spacing w:before="0"/>
        <w:rPr>
          <w:rFonts w:cs="Arial"/>
          <w:szCs w:val="22"/>
        </w:rPr>
      </w:pPr>
      <w:r w:rsidRPr="002B74BB">
        <w:rPr>
          <w:rFonts w:cs="Arial"/>
          <w:szCs w:val="22"/>
        </w:rPr>
        <w:t xml:space="preserve">Erfüllt </w:t>
      </w:r>
    </w:p>
    <w:p w14:paraId="056694B0" w14:textId="6590E189" w:rsidR="00F723CB" w:rsidRDefault="00F723CB" w:rsidP="001C31ED">
      <w:pPr>
        <w:spacing w:before="0"/>
        <w:rPr>
          <w:rFonts w:cs="Arial"/>
          <w:i/>
          <w:szCs w:val="22"/>
        </w:rPr>
      </w:pPr>
      <w:r w:rsidRPr="002B74BB">
        <w:rPr>
          <w:rFonts w:cs="Arial"/>
          <w:szCs w:val="22"/>
        </w:rPr>
        <w:t>Das Gutachtergremium gibt folgende Empfehlung:</w:t>
      </w:r>
    </w:p>
    <w:p w14:paraId="6363217F" w14:textId="77777777" w:rsidR="0059456B" w:rsidRPr="00D9308A" w:rsidRDefault="0059456B" w:rsidP="0059456B">
      <w:pPr>
        <w:spacing w:before="0"/>
        <w:rPr>
          <w:rFonts w:cs="Arial"/>
          <w:i/>
          <w:szCs w:val="22"/>
        </w:rPr>
      </w:pPr>
      <w:r w:rsidRPr="00D9308A">
        <w:rPr>
          <w:rFonts w:cs="Arial"/>
          <w:i/>
          <w:szCs w:val="22"/>
        </w:rPr>
        <w:t xml:space="preserve">Die Empfehlung hierzu befindet sich unter Kapitel § 12 Abs. 1 Sätze 1 bis 3 und 5 </w:t>
      </w:r>
      <w:proofErr w:type="spellStart"/>
      <w:r w:rsidRPr="00D9308A">
        <w:rPr>
          <w:rFonts w:cs="Arial"/>
          <w:i/>
          <w:szCs w:val="22"/>
        </w:rPr>
        <w:t>StudAkkV</w:t>
      </w:r>
      <w:proofErr w:type="spellEnd"/>
      <w:r w:rsidRPr="00D9308A">
        <w:rPr>
          <w:rFonts w:cs="Arial"/>
          <w:i/>
          <w:szCs w:val="22"/>
        </w:rPr>
        <w:t>.</w:t>
      </w:r>
    </w:p>
    <w:p w14:paraId="6D47F264" w14:textId="77777777" w:rsidR="0059456B" w:rsidRPr="002B74BB" w:rsidRDefault="0059456B" w:rsidP="001C31ED">
      <w:pPr>
        <w:spacing w:before="0"/>
        <w:rPr>
          <w:rFonts w:cs="Arial"/>
          <w:szCs w:val="22"/>
        </w:rPr>
      </w:pPr>
    </w:p>
    <w:p w14:paraId="4B62CC8C" w14:textId="77777777" w:rsidR="00144C21" w:rsidRPr="002B74BB" w:rsidRDefault="00144C21" w:rsidP="001C31ED">
      <w:pPr>
        <w:spacing w:before="0"/>
        <w:rPr>
          <w:rFonts w:cs="Arial"/>
          <w:szCs w:val="22"/>
          <w:lang w:eastAsia="en-US"/>
        </w:rPr>
      </w:pPr>
    </w:p>
    <w:p w14:paraId="2D8AD345" w14:textId="26552DAC" w:rsidR="00D0159E" w:rsidRPr="00D0159E" w:rsidRDefault="00E746E1" w:rsidP="0044081B">
      <w:pPr>
        <w:pStyle w:val="berschrift4"/>
        <w:spacing w:before="0"/>
      </w:pPr>
      <w:bookmarkStart w:id="42" w:name="_Ressourcenausstattung_(§_12"/>
      <w:bookmarkStart w:id="43" w:name="_Toc190351705"/>
      <w:bookmarkEnd w:id="42"/>
      <w:r w:rsidRPr="002B74BB">
        <w:t>Ressourcenausstattung</w:t>
      </w:r>
      <w:r w:rsidR="00251493" w:rsidRPr="002B74BB">
        <w:t xml:space="preserve"> </w:t>
      </w:r>
      <w:r w:rsidR="00251493" w:rsidRPr="00D0159E">
        <w:t>(</w:t>
      </w:r>
      <w:r w:rsidR="00251493" w:rsidRPr="00D0159E">
        <w:rPr>
          <w:rFonts w:cs="Arial"/>
        </w:rPr>
        <w:t xml:space="preserve">§ 12 Abs. 3 </w:t>
      </w:r>
      <w:proofErr w:type="spellStart"/>
      <w:r w:rsidR="00BD500A">
        <w:rPr>
          <w:rFonts w:cs="Arial"/>
        </w:rPr>
        <w:t>StudAkkV</w:t>
      </w:r>
      <w:proofErr w:type="spellEnd"/>
      <w:r w:rsidR="00251493" w:rsidRPr="00D0159E">
        <w:rPr>
          <w:rFonts w:cs="Arial"/>
        </w:rPr>
        <w:t>)</w:t>
      </w:r>
      <w:bookmarkEnd w:id="43"/>
    </w:p>
    <w:p w14:paraId="41D7D5BC" w14:textId="77777777" w:rsidR="00384515" w:rsidRDefault="00384515" w:rsidP="00384515">
      <w:pPr>
        <w:spacing w:before="0" w:after="120"/>
        <w:rPr>
          <w:rFonts w:cs="Arial"/>
          <w:b/>
          <w:color w:val="A71930"/>
          <w:szCs w:val="22"/>
        </w:rPr>
      </w:pPr>
      <w:r>
        <w:rPr>
          <w:rFonts w:cs="Arial"/>
          <w:b/>
          <w:color w:val="A71930"/>
          <w:szCs w:val="22"/>
        </w:rPr>
        <w:t>Sachstand</w:t>
      </w:r>
    </w:p>
    <w:p w14:paraId="2BF54B1B" w14:textId="5D5C9A28" w:rsidR="005929CB" w:rsidRDefault="005929CB" w:rsidP="005929CB">
      <w:r>
        <w:t>Die Hochschule legt im Selbstbericht detaillierte Informationen und Daten zur Finanzierung und Ressourcenausstattung des Studiengangs vor. So stand dem Institut für Physik im Jahr 2024 ein Budget von 16.970 Euro für eine Sachmittelausstattung zur Verfügung. Dem Institut für Elektrotechnik und Informationstechnik standen im Jahr 2024 Sachmittel in Höhe von 25.970 Euro zur Verfügung.</w:t>
      </w:r>
    </w:p>
    <w:p w14:paraId="7C4F0FE4" w14:textId="77777777" w:rsidR="005929CB" w:rsidRDefault="005929CB" w:rsidP="005929CB">
      <w:r>
        <w:t xml:space="preserve">In der Fakultät 1 MINT können sowohl Lehrende als auch Studierende auf verschiedene Räumlichkeiten zurückgreifen, darunter zwei Hörsäle mit jeweils 150 Plätzen und elf Seminarräume mit Kapazitäten von 20 bis 60 Plätzen. Eine detaillierte Auflistung der dem Studiengang zur Verfügung stehenden Labore und deren Ausstattung findet sich im Selbstbericht. Demnach sind verschiedene Labore für die Fachgebiete Hochfrequenz- und Mikrowellentechnik, Angewandte Physik und Halbleiterspektroskopie, Experimentalphysik und Funktionsmaterialien, Mikro- und Nanosysteme, Halbleitermaterialien sowie Elektronische Systeme und Sensorik vorhanden. </w:t>
      </w:r>
    </w:p>
    <w:p w14:paraId="09175A2C" w14:textId="77777777" w:rsidR="005929CB" w:rsidRDefault="005929CB" w:rsidP="005929CB">
      <w:r>
        <w:t>Darüber hinaus können die Studierenden im Rahmen des Forschungsmoduls oder der Abschlussarbeit die Labore externer Forschungseinrichtungen nutzen, z.B. des Leibniz-Instituts für Innovative Mikroelektronik (IHP), des Ferdinand-Braun-Instituts, des Leibniz-Instituts für Höchstfrequenztechnik (FBH), des Fraunhofer-Instituts für Mikrointegration und Zuverlässigkeit (IZM) und des Fraunhofer-Instituts für Photonische Mikrosysteme (IPMS).</w:t>
      </w:r>
    </w:p>
    <w:p w14:paraId="4EAE6B0E" w14:textId="3C5AF936" w:rsidR="00E46045" w:rsidRDefault="00B83AD0" w:rsidP="005929CB">
      <w:r w:rsidRPr="00B83AD0">
        <w:t xml:space="preserve">Alle Studierenden der BTU haben Zugang zur </w:t>
      </w:r>
      <w:r>
        <w:t xml:space="preserve">zentralen </w:t>
      </w:r>
      <w:r w:rsidRPr="00B83AD0">
        <w:t>Universitätsbibliothek. Diese verfügt über einen Bestand von mehr als 1,2 Millionen Büchern, Zeitschriften, Normen, Richtlinien und anderen Medien. Darüber hinaus stehen zahlreiche elektronische Ressourcen wie E-Books, Volltextzeitschriften sowie verschiedene Literatur-, Fakten- und Volltextdatenbanken zur Verfügung.  Ein wesentlicher Teil des Medienbestandes ist in englischer Sprache verfügbar.</w:t>
      </w:r>
      <w:r>
        <w:t xml:space="preserve"> </w:t>
      </w:r>
    </w:p>
    <w:p w14:paraId="03F05A38" w14:textId="45D007EE" w:rsidR="00E46045" w:rsidRPr="005929CB" w:rsidRDefault="005929CB" w:rsidP="00E46045">
      <w:r w:rsidRPr="005929CB">
        <w:lastRenderedPageBreak/>
        <w:t xml:space="preserve">Hinsichtlich des nichtwissenschaftlichen Personals erfahren die </w:t>
      </w:r>
      <w:proofErr w:type="spellStart"/>
      <w:proofErr w:type="gramStart"/>
      <w:r w:rsidRPr="005929CB">
        <w:t>Gutachter:innen</w:t>
      </w:r>
      <w:proofErr w:type="spellEnd"/>
      <w:proofErr w:type="gramEnd"/>
      <w:r w:rsidRPr="005929CB">
        <w:t>, dass den Professuren speziell geschultes technisches Personal zur Verfügung steht, das die Lehrveranstaltungen mit Laborcharakter begleitet und unterstützt. Auch die IT-Administration sei ausreichend aufgestellt.</w:t>
      </w:r>
    </w:p>
    <w:p w14:paraId="3DDD2BEC" w14:textId="77777777" w:rsidR="005929CB" w:rsidRDefault="005929CB" w:rsidP="00384515">
      <w:pPr>
        <w:spacing w:before="0" w:after="120" w:line="240" w:lineRule="auto"/>
        <w:rPr>
          <w:rFonts w:cs="Arial"/>
          <w:b/>
          <w:color w:val="A71930"/>
          <w:szCs w:val="22"/>
        </w:rPr>
      </w:pPr>
    </w:p>
    <w:p w14:paraId="34A49D41" w14:textId="3AC8A134" w:rsidR="00384515" w:rsidRDefault="00384515" w:rsidP="00384515">
      <w:pPr>
        <w:spacing w:before="0" w:after="120" w:line="240" w:lineRule="auto"/>
        <w:rPr>
          <w:rFonts w:cs="Arial"/>
          <w:b/>
          <w:color w:val="A71930"/>
          <w:szCs w:val="22"/>
        </w:rPr>
      </w:pPr>
      <w:r w:rsidRPr="00457100">
        <w:rPr>
          <w:rFonts w:cs="Arial"/>
          <w:b/>
          <w:color w:val="A71930"/>
          <w:szCs w:val="22"/>
        </w:rPr>
        <w:t>Bewertung: Stärken und Entwicklungsbedarf</w:t>
      </w:r>
    </w:p>
    <w:p w14:paraId="54AF86D1" w14:textId="77777777" w:rsidR="0044081B" w:rsidRPr="0044081B" w:rsidRDefault="0044081B" w:rsidP="0044081B">
      <w:pPr>
        <w:spacing w:before="0" w:after="120"/>
        <w:rPr>
          <w:rFonts w:cs="Arial"/>
          <w:szCs w:val="22"/>
        </w:rPr>
      </w:pPr>
      <w:r w:rsidRPr="0044081B">
        <w:rPr>
          <w:rFonts w:cs="Arial"/>
          <w:szCs w:val="22"/>
        </w:rPr>
        <w:t xml:space="preserve">Die </w:t>
      </w:r>
      <w:proofErr w:type="spellStart"/>
      <w:proofErr w:type="gramStart"/>
      <w:r w:rsidRPr="0044081B">
        <w:rPr>
          <w:rFonts w:cs="Arial"/>
          <w:szCs w:val="22"/>
        </w:rPr>
        <w:t>Gutachter:innen</w:t>
      </w:r>
      <w:proofErr w:type="spellEnd"/>
      <w:proofErr w:type="gramEnd"/>
      <w:r w:rsidRPr="0044081B">
        <w:rPr>
          <w:rFonts w:cs="Arial"/>
          <w:szCs w:val="22"/>
        </w:rPr>
        <w:t xml:space="preserve"> machen sich während der Begehung der Hochschule ein umfassendes Bild von den Räumlichkeiten einschließlich der Sach- und Laborausstattung und bewerten die Ausstattung der Räumlichkeiten und Labore als sehr positiv. Sie begrüßen insbesondere die vielfältigen Kooperationen mit externen Forschungseinrichtungen, die es den Studierenden ermöglichen, zusätzliche Labore zu nutzen. </w:t>
      </w:r>
    </w:p>
    <w:p w14:paraId="6CD3D81D" w14:textId="77777777" w:rsidR="0044081B" w:rsidRPr="0044081B" w:rsidRDefault="0044081B" w:rsidP="0044081B">
      <w:pPr>
        <w:spacing w:before="0" w:after="120"/>
        <w:rPr>
          <w:rFonts w:cs="Arial"/>
          <w:szCs w:val="22"/>
        </w:rPr>
      </w:pPr>
      <w:r w:rsidRPr="0044081B">
        <w:rPr>
          <w:rFonts w:cs="Arial"/>
          <w:szCs w:val="22"/>
        </w:rPr>
        <w:t xml:space="preserve">Darüber hinaus bewerten die </w:t>
      </w:r>
      <w:proofErr w:type="spellStart"/>
      <w:proofErr w:type="gramStart"/>
      <w:r w:rsidRPr="0044081B">
        <w:rPr>
          <w:rFonts w:cs="Arial"/>
          <w:szCs w:val="22"/>
        </w:rPr>
        <w:t>Gutachter:innen</w:t>
      </w:r>
      <w:proofErr w:type="spellEnd"/>
      <w:proofErr w:type="gramEnd"/>
      <w:r w:rsidRPr="0044081B">
        <w:rPr>
          <w:rFonts w:cs="Arial"/>
          <w:szCs w:val="22"/>
        </w:rPr>
        <w:t xml:space="preserve"> nach Durchsicht der eingereichten Unterlagen sowie den Gesprächen während des Audits die Ausstattung mit nichtwissenschaftlichem Personal als vollkommen ausreichend.</w:t>
      </w:r>
    </w:p>
    <w:p w14:paraId="48D7B980" w14:textId="2CDB6A28" w:rsidR="00384515" w:rsidRPr="007B58D9" w:rsidRDefault="0044081B" w:rsidP="0044081B">
      <w:pPr>
        <w:spacing w:before="0" w:after="120"/>
        <w:rPr>
          <w:rFonts w:cs="Arial"/>
          <w:szCs w:val="22"/>
        </w:rPr>
      </w:pPr>
      <w:r w:rsidRPr="0044081B">
        <w:rPr>
          <w:rFonts w:cs="Arial"/>
          <w:szCs w:val="22"/>
        </w:rPr>
        <w:t xml:space="preserve">Abschließend stellen die </w:t>
      </w:r>
      <w:proofErr w:type="spellStart"/>
      <w:proofErr w:type="gramStart"/>
      <w:r w:rsidRPr="0044081B">
        <w:rPr>
          <w:rFonts w:cs="Arial"/>
          <w:szCs w:val="22"/>
        </w:rPr>
        <w:t>Gutachter:innen</w:t>
      </w:r>
      <w:proofErr w:type="spellEnd"/>
      <w:proofErr w:type="gramEnd"/>
      <w:r w:rsidRPr="0044081B">
        <w:rPr>
          <w:rFonts w:cs="Arial"/>
          <w:szCs w:val="22"/>
        </w:rPr>
        <w:t xml:space="preserve"> fest, dass eine gute Ressourcenausstattung gegeben ist, die auch mittel- und langfristig gesichert und belastbar erscheint, so dass die erfolgreiche Durchführung des hier zu akkreditierenden Studiengangs auch mittel- und langfristig gesichert ist.</w:t>
      </w:r>
    </w:p>
    <w:p w14:paraId="16F451B9" w14:textId="77777777" w:rsidR="00F26F20" w:rsidRPr="00FE735A" w:rsidRDefault="00F26F20" w:rsidP="00F26F20">
      <w:pPr>
        <w:pStyle w:val="Bewertung"/>
        <w:rPr>
          <w:rFonts w:ascii="Arial" w:hAnsi="Arial" w:cs="Arial"/>
          <w:i/>
          <w:sz w:val="22"/>
          <w:u w:val="single"/>
        </w:rPr>
      </w:pPr>
      <w:r w:rsidRPr="00FE735A">
        <w:rPr>
          <w:rFonts w:ascii="Arial" w:hAnsi="Arial" w:cs="Arial"/>
          <w:i/>
          <w:sz w:val="22"/>
          <w:u w:val="single"/>
        </w:rPr>
        <w:t>Ergänzung im Zuge der Stellungnahme der Hochschule</w:t>
      </w:r>
    </w:p>
    <w:p w14:paraId="35EFE11A" w14:textId="77777777" w:rsidR="00F26F20" w:rsidRDefault="00F26F20" w:rsidP="00F26F20">
      <w:pPr>
        <w:pStyle w:val="Bewertung"/>
        <w:rPr>
          <w:rFonts w:ascii="Arial" w:hAnsi="Arial" w:cs="Arial"/>
          <w:sz w:val="22"/>
        </w:rPr>
      </w:pPr>
      <w:r w:rsidRPr="00FE735A">
        <w:rPr>
          <w:rFonts w:ascii="Arial" w:hAnsi="Arial" w:cs="Arial"/>
          <w:sz w:val="22"/>
        </w:rPr>
        <w:t>[…]</w:t>
      </w:r>
    </w:p>
    <w:p w14:paraId="4E9B7371" w14:textId="77777777" w:rsidR="00F26F20" w:rsidRPr="00FE735A" w:rsidRDefault="00F26F20" w:rsidP="00F26F20">
      <w:pPr>
        <w:pStyle w:val="Bewertung"/>
        <w:rPr>
          <w:rFonts w:ascii="Arial" w:hAnsi="Arial" w:cs="Arial"/>
          <w:i/>
          <w:sz w:val="22"/>
          <w:u w:val="single"/>
        </w:rPr>
      </w:pPr>
      <w:r>
        <w:rPr>
          <w:rFonts w:ascii="Arial" w:hAnsi="Arial" w:cs="Arial"/>
          <w:i/>
          <w:sz w:val="22"/>
          <w:u w:val="single"/>
        </w:rPr>
        <w:t>Ergänzung in Zuge der Qualitätsverbesserungsschleife</w:t>
      </w:r>
    </w:p>
    <w:p w14:paraId="3CA89D74" w14:textId="77777777" w:rsidR="00F26F20" w:rsidRDefault="00F26F20" w:rsidP="00F26F20">
      <w:pPr>
        <w:pStyle w:val="Bewertung"/>
        <w:rPr>
          <w:rFonts w:ascii="Arial" w:hAnsi="Arial" w:cs="Arial"/>
          <w:sz w:val="22"/>
        </w:rPr>
      </w:pPr>
      <w:r w:rsidRPr="00FE735A">
        <w:rPr>
          <w:rFonts w:ascii="Arial" w:hAnsi="Arial" w:cs="Arial"/>
          <w:sz w:val="22"/>
        </w:rPr>
        <w:t>[…]</w:t>
      </w:r>
    </w:p>
    <w:p w14:paraId="2BAD3818" w14:textId="77777777" w:rsidR="00F723CB" w:rsidRPr="002B74BB" w:rsidRDefault="00F723CB" w:rsidP="001C31ED">
      <w:pPr>
        <w:spacing w:before="0"/>
        <w:rPr>
          <w:rFonts w:cs="Arial"/>
          <w:color w:val="A71930"/>
          <w:szCs w:val="22"/>
        </w:rPr>
      </w:pPr>
      <w:r w:rsidRPr="002B74BB">
        <w:rPr>
          <w:rFonts w:cs="Arial"/>
          <w:b/>
          <w:color w:val="A71930"/>
          <w:szCs w:val="22"/>
        </w:rPr>
        <w:t>Entscheidungsvorschlag</w:t>
      </w:r>
    </w:p>
    <w:p w14:paraId="2F4DB91A" w14:textId="5F569A4C" w:rsidR="0044081B" w:rsidRDefault="0044081B" w:rsidP="0044081B">
      <w:pPr>
        <w:spacing w:before="0"/>
        <w:rPr>
          <w:rFonts w:cs="Arial"/>
          <w:i/>
          <w:szCs w:val="22"/>
        </w:rPr>
      </w:pPr>
      <w:r>
        <w:rPr>
          <w:rFonts w:cs="Arial"/>
          <w:szCs w:val="22"/>
        </w:rPr>
        <w:t>Erfüllt.</w:t>
      </w:r>
    </w:p>
    <w:p w14:paraId="760EC9A0" w14:textId="28D6CAF3" w:rsidR="00F723CB" w:rsidRDefault="00F723CB" w:rsidP="001C31ED">
      <w:pPr>
        <w:spacing w:before="0"/>
        <w:rPr>
          <w:rFonts w:cs="Arial"/>
          <w:i/>
          <w:szCs w:val="22"/>
        </w:rPr>
      </w:pPr>
    </w:p>
    <w:p w14:paraId="3059E926" w14:textId="77777777" w:rsidR="00F723CB" w:rsidRPr="002B74BB" w:rsidRDefault="00F723CB" w:rsidP="001C31ED">
      <w:pPr>
        <w:spacing w:before="0"/>
        <w:jc w:val="left"/>
        <w:rPr>
          <w:rFonts w:cs="Arial"/>
          <w:szCs w:val="22"/>
          <w:lang w:eastAsia="en-US"/>
        </w:rPr>
      </w:pPr>
    </w:p>
    <w:p w14:paraId="17AE861E" w14:textId="6F83D8D4" w:rsidR="00A71E9F" w:rsidRPr="00A71E9F" w:rsidRDefault="00E746E1" w:rsidP="00C415CD">
      <w:pPr>
        <w:pStyle w:val="berschrift4"/>
        <w:spacing w:before="0"/>
      </w:pPr>
      <w:bookmarkStart w:id="44" w:name="_Prüfungssystem_(§_12"/>
      <w:bookmarkStart w:id="45" w:name="_Toc190351706"/>
      <w:bookmarkEnd w:id="44"/>
      <w:r w:rsidRPr="002B74BB">
        <w:t>Prüfungssystem</w:t>
      </w:r>
      <w:r w:rsidR="00251493" w:rsidRPr="002B74BB">
        <w:t xml:space="preserve"> </w:t>
      </w:r>
      <w:r w:rsidR="00251493" w:rsidRPr="00A71E9F">
        <w:t>(</w:t>
      </w:r>
      <w:r w:rsidR="00251493" w:rsidRPr="00A71E9F">
        <w:rPr>
          <w:rFonts w:cs="Arial"/>
        </w:rPr>
        <w:t xml:space="preserve">§ 12 Abs. 4 </w:t>
      </w:r>
      <w:proofErr w:type="spellStart"/>
      <w:r w:rsidR="00BD500A">
        <w:rPr>
          <w:rFonts w:cs="Arial"/>
        </w:rPr>
        <w:t>StudAkkV</w:t>
      </w:r>
      <w:proofErr w:type="spellEnd"/>
      <w:r w:rsidR="00251493" w:rsidRPr="00A71E9F">
        <w:rPr>
          <w:rFonts w:cs="Arial"/>
        </w:rPr>
        <w:t>)</w:t>
      </w:r>
      <w:bookmarkEnd w:id="45"/>
    </w:p>
    <w:p w14:paraId="1D5BD942" w14:textId="77777777" w:rsidR="00384515" w:rsidRDefault="00384515" w:rsidP="00384515">
      <w:pPr>
        <w:spacing w:before="0" w:after="120"/>
        <w:rPr>
          <w:rFonts w:cs="Arial"/>
          <w:b/>
          <w:color w:val="A71930"/>
          <w:szCs w:val="22"/>
        </w:rPr>
      </w:pPr>
      <w:r>
        <w:rPr>
          <w:rFonts w:cs="Arial"/>
          <w:b/>
          <w:color w:val="A71930"/>
          <w:szCs w:val="22"/>
        </w:rPr>
        <w:t>Sachstand</w:t>
      </w:r>
    </w:p>
    <w:p w14:paraId="685D5263" w14:textId="3E262B5B" w:rsidR="006B48C4" w:rsidRDefault="006B48C4" w:rsidP="006B48C4">
      <w:pPr>
        <w:spacing w:before="0" w:after="120"/>
        <w:rPr>
          <w:rFonts w:cs="Arial"/>
          <w:szCs w:val="22"/>
        </w:rPr>
      </w:pPr>
      <w:r w:rsidRPr="00BD69B9">
        <w:rPr>
          <w:rFonts w:cs="Arial"/>
          <w:szCs w:val="22"/>
        </w:rPr>
        <w:t xml:space="preserve">Die im Studiengang verwendeten Prüfungsformen </w:t>
      </w:r>
      <w:r>
        <w:rPr>
          <w:rFonts w:cs="Arial"/>
          <w:szCs w:val="22"/>
        </w:rPr>
        <w:t xml:space="preserve">sowie die Prüfungsmodalitäten </w:t>
      </w:r>
      <w:r w:rsidRPr="00BD69B9">
        <w:rPr>
          <w:rFonts w:cs="Arial"/>
          <w:szCs w:val="22"/>
        </w:rPr>
        <w:t xml:space="preserve">sind in der </w:t>
      </w:r>
      <w:r>
        <w:rPr>
          <w:rFonts w:cs="Arial"/>
          <w:szCs w:val="22"/>
        </w:rPr>
        <w:t>Allgemeine</w:t>
      </w:r>
      <w:r w:rsidR="00F87638">
        <w:rPr>
          <w:rFonts w:cs="Arial"/>
          <w:szCs w:val="22"/>
        </w:rPr>
        <w:t>n</w:t>
      </w:r>
      <w:r>
        <w:rPr>
          <w:rFonts w:cs="Arial"/>
          <w:szCs w:val="22"/>
        </w:rPr>
        <w:t xml:space="preserve"> Prüfungs- und Studienordnung für Master-Studiengänge der BTU</w:t>
      </w:r>
      <w:r w:rsidRPr="00BD69B9">
        <w:rPr>
          <w:rFonts w:cs="Arial"/>
          <w:szCs w:val="22"/>
        </w:rPr>
        <w:t xml:space="preserve"> </w:t>
      </w:r>
      <w:r>
        <w:rPr>
          <w:rFonts w:cs="Arial"/>
          <w:szCs w:val="22"/>
        </w:rPr>
        <w:t>dargelegt</w:t>
      </w:r>
      <w:r w:rsidRPr="00BD69B9">
        <w:rPr>
          <w:rFonts w:cs="Arial"/>
          <w:szCs w:val="22"/>
        </w:rPr>
        <w:t>. Die jeweilige Prüfungsform wird modulbezogen festgelegt und in der Modulbeschreibung deutlich gemacht. Als mögliche Prüfungsformen sind Klausuren, mündliche Prüfungen, Hausarbeite</w:t>
      </w:r>
      <w:r w:rsidR="004B7943">
        <w:rPr>
          <w:rFonts w:cs="Arial"/>
          <w:szCs w:val="22"/>
        </w:rPr>
        <w:t xml:space="preserve">n, Referate, Portfolioprüfungen – </w:t>
      </w:r>
      <w:r>
        <w:rPr>
          <w:rFonts w:cs="Arial"/>
          <w:szCs w:val="22"/>
        </w:rPr>
        <w:t xml:space="preserve">hier </w:t>
      </w:r>
      <w:proofErr w:type="spellStart"/>
      <w:r w:rsidRPr="006B48C4">
        <w:rPr>
          <w:rFonts w:cs="Arial"/>
          <w:szCs w:val="22"/>
        </w:rPr>
        <w:t>Continuous</w:t>
      </w:r>
      <w:proofErr w:type="spellEnd"/>
      <w:r w:rsidRPr="006B48C4">
        <w:rPr>
          <w:rFonts w:cs="Arial"/>
          <w:szCs w:val="22"/>
        </w:rPr>
        <w:t xml:space="preserve"> Assessment (MCA)</w:t>
      </w:r>
      <w:r>
        <w:rPr>
          <w:rFonts w:cs="Arial"/>
          <w:szCs w:val="22"/>
        </w:rPr>
        <w:t xml:space="preserve"> genannt</w:t>
      </w:r>
      <w:r w:rsidR="004B7943">
        <w:rPr>
          <w:rFonts w:cs="Arial"/>
          <w:szCs w:val="22"/>
        </w:rPr>
        <w:t xml:space="preserve"> –</w:t>
      </w:r>
      <w:r>
        <w:rPr>
          <w:rFonts w:cs="Arial"/>
          <w:szCs w:val="22"/>
        </w:rPr>
        <w:t xml:space="preserve"> </w:t>
      </w:r>
      <w:r w:rsidRPr="00BD69B9">
        <w:rPr>
          <w:rFonts w:cs="Arial"/>
          <w:szCs w:val="22"/>
        </w:rPr>
        <w:t xml:space="preserve">und Projektarbeiten </w:t>
      </w:r>
      <w:r w:rsidRPr="00BD69B9">
        <w:rPr>
          <w:rFonts w:cs="Arial"/>
          <w:szCs w:val="22"/>
        </w:rPr>
        <w:lastRenderedPageBreak/>
        <w:t xml:space="preserve">vorgesehen. Die Hochschule gibt an, dass sich die Prüfungsformen sowohl an den übergeordneten Qualifikationszielen des Studiengangs als auch an den Lern- bzw. Kompetenzzielen des jeweiligen Moduls orientieren. </w:t>
      </w:r>
    </w:p>
    <w:p w14:paraId="5AB61541" w14:textId="7672186F" w:rsidR="00D30CE1" w:rsidRPr="00D30CE1" w:rsidRDefault="00D30CE1" w:rsidP="00D30CE1">
      <w:r w:rsidRPr="00D30CE1">
        <w:t xml:space="preserve">Im Selbstbericht führt die Hochschule aus, dass die Prüfungsleistung im Forschungsmodul sowie in der Masterarbeit jeweils aus einer mündlichen und einer schriftlichen Komponente besteht. In der mündlichen Präsentation sollen die Ergebnisse der jeweiligen Module strukturiert einem Publikum, das auch </w:t>
      </w:r>
      <w:proofErr w:type="spellStart"/>
      <w:proofErr w:type="gramStart"/>
      <w:r w:rsidRPr="00D30CE1">
        <w:t>Kommiliton:innen</w:t>
      </w:r>
      <w:proofErr w:type="spellEnd"/>
      <w:proofErr w:type="gramEnd"/>
      <w:r w:rsidRPr="00D30CE1">
        <w:t xml:space="preserve"> umfasst, vorgestellt werden.</w:t>
      </w:r>
    </w:p>
    <w:p w14:paraId="27685430" w14:textId="77777777" w:rsidR="006B48C4" w:rsidRPr="00D30CE1" w:rsidRDefault="006B48C4" w:rsidP="00384515">
      <w:pPr>
        <w:spacing w:before="0" w:after="120" w:line="240" w:lineRule="auto"/>
        <w:rPr>
          <w:rFonts w:cs="Arial"/>
          <w:szCs w:val="22"/>
        </w:rPr>
      </w:pPr>
    </w:p>
    <w:p w14:paraId="6611DA36" w14:textId="77777777" w:rsidR="00384515" w:rsidRDefault="00384515" w:rsidP="00384515">
      <w:pPr>
        <w:spacing w:before="0" w:after="120" w:line="240" w:lineRule="auto"/>
        <w:rPr>
          <w:rFonts w:cs="Arial"/>
          <w:b/>
          <w:color w:val="A71930"/>
          <w:szCs w:val="22"/>
        </w:rPr>
      </w:pPr>
      <w:r w:rsidRPr="00457100">
        <w:rPr>
          <w:rFonts w:cs="Arial"/>
          <w:b/>
          <w:color w:val="A71930"/>
          <w:szCs w:val="22"/>
        </w:rPr>
        <w:t>Bewertung: Stärken und Entwicklungsbedarf</w:t>
      </w:r>
    </w:p>
    <w:p w14:paraId="18C80848" w14:textId="77777777" w:rsidR="008D1CAE" w:rsidRDefault="008D1CAE" w:rsidP="008D1CAE">
      <w:r w:rsidRPr="008D1CAE">
        <w:t xml:space="preserve">Die </w:t>
      </w:r>
      <w:proofErr w:type="spellStart"/>
      <w:proofErr w:type="gramStart"/>
      <w:r w:rsidRPr="008D1CAE">
        <w:t>Gutachter:innen</w:t>
      </w:r>
      <w:proofErr w:type="spellEnd"/>
      <w:proofErr w:type="gramEnd"/>
      <w:r w:rsidRPr="008D1CAE">
        <w:t xml:space="preserve"> stellen fest, dass die zu den einzelnen Modulen vorgesehenen Prüfungsformen eine aussagekräftige Überprüfung der erreichten Lernergebnisse ermöglichen. Sie begrüßen, dass je nach Studieninhalt unterschiedliche Prüfungsformen eingesetzt werden und dass neben Klausuren auch viele Präsentationen und mündliche Prüfungen zum Einsatz kommen. Auch Studierende verwandter Studiengänge zeigen sich mit der Gestaltung und Vielfalt der bei ihnen eingesetzten Prüfungsformen zufrieden. </w:t>
      </w:r>
    </w:p>
    <w:p w14:paraId="4CDBE2A4" w14:textId="77777777" w:rsidR="00C415CD" w:rsidRDefault="00C415CD" w:rsidP="00D30CE1">
      <w:r w:rsidRPr="00C415CD">
        <w:t xml:space="preserve">Die </w:t>
      </w:r>
      <w:proofErr w:type="spellStart"/>
      <w:proofErr w:type="gramStart"/>
      <w:r w:rsidRPr="00C415CD">
        <w:t>Gutachter:innen</w:t>
      </w:r>
      <w:proofErr w:type="spellEnd"/>
      <w:proofErr w:type="gramEnd"/>
      <w:r w:rsidRPr="00C415CD">
        <w:t xml:space="preserve"> heben insbesondere die Prüfungsform </w:t>
      </w:r>
      <w:proofErr w:type="spellStart"/>
      <w:r w:rsidRPr="00C415CD">
        <w:t>Continuous</w:t>
      </w:r>
      <w:proofErr w:type="spellEnd"/>
      <w:r w:rsidRPr="00C415CD">
        <w:t xml:space="preserve"> Assessment (MCA) positiv hervor, die sich aus verschiedenen kleineren Leistungen über das Semester verteilt zusammensetzt und somit eine komplexere Bewertung der Kompetenzen der Studierenden ermöglichen soll. Beispielsweise wird diese Prüfungsform laut Modulhandbuch im Modul „Selected </w:t>
      </w:r>
      <w:proofErr w:type="spellStart"/>
      <w:r w:rsidRPr="00C415CD">
        <w:t>Chapters</w:t>
      </w:r>
      <w:proofErr w:type="spellEnd"/>
      <w:r w:rsidRPr="00C415CD">
        <w:t xml:space="preserve"> in </w:t>
      </w:r>
      <w:proofErr w:type="spellStart"/>
      <w:r w:rsidRPr="00C415CD">
        <w:t>Microwave</w:t>
      </w:r>
      <w:proofErr w:type="spellEnd"/>
      <w:r w:rsidRPr="00C415CD">
        <w:t xml:space="preserve"> Electronics“ eingesetzt. Hier besteht die Prüfungsleistung aus drei kleineren Projekten, deren Ergebnisse durch Vorlage der Extraktions-, Simulations- oder Designdatei nachgewiesen werden müssen. Dieser Teil bestimmt 50% der Gesamtnote. Die anderen 50% werden anhand eines Abschlussberichts von maximal 10 Seiten bewertet. Die </w:t>
      </w:r>
      <w:proofErr w:type="spellStart"/>
      <w:proofErr w:type="gramStart"/>
      <w:r w:rsidRPr="00C415CD">
        <w:t>Gutachter:innen</w:t>
      </w:r>
      <w:proofErr w:type="spellEnd"/>
      <w:proofErr w:type="gramEnd"/>
      <w:r w:rsidRPr="00C415CD">
        <w:t xml:space="preserve"> erachten die Prüfungsform </w:t>
      </w:r>
      <w:proofErr w:type="spellStart"/>
      <w:r w:rsidRPr="00C415CD">
        <w:t>Continuous</w:t>
      </w:r>
      <w:proofErr w:type="spellEnd"/>
      <w:r w:rsidRPr="00C415CD">
        <w:t xml:space="preserve"> Assessment  insbesondere für praktische Module als sinnvoll. Derzeit stellen sie jedoch fest, dass diese Prüfungsform nur in sehr wenigen Modulen eingesetzt wird. Sie empfehlen daher, diese Prüfungsform verstärkt auch in anderen praktischen Lehrveranstaltungen einzusetzen. </w:t>
      </w:r>
    </w:p>
    <w:p w14:paraId="2BD41ED3" w14:textId="66BA2CAF" w:rsidR="004B7943" w:rsidRPr="00C415CD" w:rsidRDefault="00D30CE1" w:rsidP="00D30CE1">
      <w:pPr>
        <w:rPr>
          <w:rFonts w:cs="Arial"/>
          <w:szCs w:val="22"/>
        </w:rPr>
      </w:pPr>
      <w:r>
        <w:rPr>
          <w:szCs w:val="22"/>
        </w:rPr>
        <w:t xml:space="preserve">Während des Audits </w:t>
      </w:r>
      <w:r w:rsidR="00C415CD">
        <w:rPr>
          <w:szCs w:val="22"/>
        </w:rPr>
        <w:t>können</w:t>
      </w:r>
      <w:r>
        <w:rPr>
          <w:szCs w:val="22"/>
        </w:rPr>
        <w:t xml:space="preserve"> die </w:t>
      </w:r>
      <w:proofErr w:type="spellStart"/>
      <w:proofErr w:type="gramStart"/>
      <w:r>
        <w:rPr>
          <w:szCs w:val="22"/>
        </w:rPr>
        <w:t>Gutachter</w:t>
      </w:r>
      <w:r w:rsidR="00C415CD">
        <w:rPr>
          <w:szCs w:val="22"/>
        </w:rPr>
        <w:t>:innen</w:t>
      </w:r>
      <w:proofErr w:type="spellEnd"/>
      <w:proofErr w:type="gramEnd"/>
      <w:r>
        <w:rPr>
          <w:szCs w:val="22"/>
        </w:rPr>
        <w:t xml:space="preserve"> sich anhand exemplarischer Prüfungen davon überzeugen, dass das Niveau der Arbeiten angemessen ist und die entsprechenden Kompetenzen adäquat abgeprüft werden.</w:t>
      </w:r>
    </w:p>
    <w:p w14:paraId="077E59C6" w14:textId="77777777" w:rsidR="00384515" w:rsidRPr="007B58D9" w:rsidRDefault="00384515" w:rsidP="00384515">
      <w:pPr>
        <w:spacing w:before="0" w:after="120" w:line="240" w:lineRule="auto"/>
        <w:rPr>
          <w:rFonts w:cs="Arial"/>
          <w:szCs w:val="22"/>
        </w:rPr>
      </w:pPr>
    </w:p>
    <w:p w14:paraId="1546A2F3" w14:textId="77777777" w:rsidR="00F26F20" w:rsidRPr="00FE735A" w:rsidRDefault="00F26F20" w:rsidP="00F26F20">
      <w:pPr>
        <w:pStyle w:val="Bewertung"/>
        <w:rPr>
          <w:rFonts w:ascii="Arial" w:hAnsi="Arial" w:cs="Arial"/>
          <w:i/>
          <w:sz w:val="22"/>
          <w:u w:val="single"/>
        </w:rPr>
      </w:pPr>
      <w:r w:rsidRPr="00FE735A">
        <w:rPr>
          <w:rFonts w:ascii="Arial" w:hAnsi="Arial" w:cs="Arial"/>
          <w:i/>
          <w:sz w:val="22"/>
          <w:u w:val="single"/>
        </w:rPr>
        <w:t>Ergänzung im Zuge der Stellungnahme der Hochschule</w:t>
      </w:r>
    </w:p>
    <w:p w14:paraId="51E60996" w14:textId="77777777" w:rsidR="00F26F20" w:rsidRDefault="00F26F20" w:rsidP="00F26F20">
      <w:pPr>
        <w:pStyle w:val="Bewertung"/>
        <w:rPr>
          <w:rFonts w:ascii="Arial" w:hAnsi="Arial" w:cs="Arial"/>
          <w:sz w:val="22"/>
        </w:rPr>
      </w:pPr>
      <w:r w:rsidRPr="00FE735A">
        <w:rPr>
          <w:rFonts w:ascii="Arial" w:hAnsi="Arial" w:cs="Arial"/>
          <w:sz w:val="22"/>
        </w:rPr>
        <w:t>[…]</w:t>
      </w:r>
    </w:p>
    <w:p w14:paraId="010A9A02" w14:textId="77777777" w:rsidR="00F26F20" w:rsidRPr="00FE735A" w:rsidRDefault="00F26F20" w:rsidP="00F26F20">
      <w:pPr>
        <w:pStyle w:val="Bewertung"/>
        <w:rPr>
          <w:rFonts w:ascii="Arial" w:hAnsi="Arial" w:cs="Arial"/>
          <w:i/>
          <w:sz w:val="22"/>
          <w:u w:val="single"/>
        </w:rPr>
      </w:pPr>
      <w:r>
        <w:rPr>
          <w:rFonts w:ascii="Arial" w:hAnsi="Arial" w:cs="Arial"/>
          <w:i/>
          <w:sz w:val="22"/>
          <w:u w:val="single"/>
        </w:rPr>
        <w:t>Ergänzung in Zuge der Qualitätsverbesserungsschleife</w:t>
      </w:r>
    </w:p>
    <w:p w14:paraId="0EC30264" w14:textId="77777777" w:rsidR="00F26F20" w:rsidRDefault="00F26F20" w:rsidP="00F26F20">
      <w:pPr>
        <w:pStyle w:val="Bewertung"/>
        <w:rPr>
          <w:rFonts w:ascii="Arial" w:hAnsi="Arial" w:cs="Arial"/>
          <w:sz w:val="22"/>
        </w:rPr>
      </w:pPr>
      <w:r w:rsidRPr="00FE735A">
        <w:rPr>
          <w:rFonts w:ascii="Arial" w:hAnsi="Arial" w:cs="Arial"/>
          <w:sz w:val="22"/>
        </w:rPr>
        <w:t>[…]</w:t>
      </w:r>
    </w:p>
    <w:p w14:paraId="6A3F6AA1" w14:textId="77777777" w:rsidR="00F723CB" w:rsidRPr="002B74BB" w:rsidRDefault="00F723CB" w:rsidP="001C31ED">
      <w:pPr>
        <w:spacing w:before="0"/>
        <w:rPr>
          <w:rFonts w:cs="Arial"/>
          <w:color w:val="A71930"/>
          <w:szCs w:val="22"/>
        </w:rPr>
      </w:pPr>
      <w:r w:rsidRPr="002B74BB">
        <w:rPr>
          <w:rFonts w:cs="Arial"/>
          <w:b/>
          <w:color w:val="A71930"/>
          <w:szCs w:val="22"/>
        </w:rPr>
        <w:lastRenderedPageBreak/>
        <w:t>Entscheidungsvorschlag</w:t>
      </w:r>
    </w:p>
    <w:p w14:paraId="482D7E99" w14:textId="0DF13484" w:rsidR="00F723CB" w:rsidRPr="002B74BB" w:rsidRDefault="00F723CB" w:rsidP="00C415CD">
      <w:pPr>
        <w:spacing w:before="0"/>
        <w:rPr>
          <w:rFonts w:cs="Arial"/>
          <w:szCs w:val="22"/>
        </w:rPr>
      </w:pPr>
      <w:r w:rsidRPr="002B74BB">
        <w:rPr>
          <w:rFonts w:cs="Arial"/>
          <w:szCs w:val="22"/>
        </w:rPr>
        <w:t>Erfüllt</w:t>
      </w:r>
      <w:r w:rsidR="00C415CD">
        <w:rPr>
          <w:rFonts w:cs="Arial"/>
          <w:szCs w:val="22"/>
        </w:rPr>
        <w:t>.</w:t>
      </w:r>
    </w:p>
    <w:p w14:paraId="145E9D02" w14:textId="40B76E62" w:rsidR="00F723CB" w:rsidRDefault="00F723CB" w:rsidP="001C31ED">
      <w:pPr>
        <w:spacing w:before="0"/>
        <w:rPr>
          <w:rFonts w:cs="Arial"/>
          <w:szCs w:val="22"/>
        </w:rPr>
      </w:pPr>
      <w:r w:rsidRPr="002B74BB">
        <w:rPr>
          <w:rFonts w:cs="Arial"/>
          <w:szCs w:val="22"/>
        </w:rPr>
        <w:t>Das Gutachtergr</w:t>
      </w:r>
      <w:r w:rsidR="00C415CD">
        <w:rPr>
          <w:rFonts w:cs="Arial"/>
          <w:szCs w:val="22"/>
        </w:rPr>
        <w:t>emium gibt folgende Empfehlung:</w:t>
      </w:r>
    </w:p>
    <w:p w14:paraId="58126DFB" w14:textId="0F0700A9" w:rsidR="00C415CD" w:rsidRPr="00C415CD" w:rsidRDefault="00C415CD" w:rsidP="00C415CD">
      <w:pPr>
        <w:pStyle w:val="Aufzhlung"/>
        <w:rPr>
          <w:rFonts w:ascii="Arial" w:hAnsi="Arial" w:cs="Arial"/>
          <w:sz w:val="22"/>
        </w:rPr>
      </w:pPr>
      <w:r w:rsidRPr="00C415CD">
        <w:rPr>
          <w:rFonts w:ascii="Arial" w:hAnsi="Arial" w:cs="Arial"/>
          <w:sz w:val="22"/>
        </w:rPr>
        <w:t xml:space="preserve">Es wird empfohlen, die Prüfungsform </w:t>
      </w:r>
      <w:proofErr w:type="spellStart"/>
      <w:r w:rsidRPr="00C415CD">
        <w:rPr>
          <w:rFonts w:ascii="Arial" w:hAnsi="Arial" w:cs="Arial"/>
          <w:sz w:val="22"/>
        </w:rPr>
        <w:t>Continuous</w:t>
      </w:r>
      <w:proofErr w:type="spellEnd"/>
      <w:r w:rsidRPr="00C415CD">
        <w:rPr>
          <w:rFonts w:ascii="Arial" w:hAnsi="Arial" w:cs="Arial"/>
          <w:sz w:val="22"/>
        </w:rPr>
        <w:t xml:space="preserve"> Assessment verstärkt in den praktischen Lehrveranstaltungen einzusetzen.</w:t>
      </w:r>
    </w:p>
    <w:p w14:paraId="0CBA1F03" w14:textId="77777777" w:rsidR="00144C21" w:rsidRPr="00457100" w:rsidRDefault="00144C21" w:rsidP="001C31ED">
      <w:pPr>
        <w:spacing w:before="0"/>
        <w:rPr>
          <w:rFonts w:cs="Arial"/>
          <w:szCs w:val="22"/>
          <w:lang w:eastAsia="en-US"/>
        </w:rPr>
      </w:pPr>
    </w:p>
    <w:p w14:paraId="5B445BED" w14:textId="77777777" w:rsidR="00E746E1" w:rsidRDefault="00E746E1" w:rsidP="001C31ED">
      <w:pPr>
        <w:pStyle w:val="berschrift4"/>
        <w:spacing w:before="0"/>
      </w:pPr>
      <w:bookmarkStart w:id="46" w:name="_Studierbarkeit_(§_12"/>
      <w:bookmarkStart w:id="47" w:name="_Toc190351707"/>
      <w:bookmarkEnd w:id="46"/>
      <w:r w:rsidRPr="002A24D7">
        <w:t>Studierbarkeit</w:t>
      </w:r>
      <w:r w:rsidR="00251493">
        <w:t xml:space="preserve"> </w:t>
      </w:r>
      <w:r w:rsidR="00251493" w:rsidRPr="0019387F">
        <w:t>(</w:t>
      </w:r>
      <w:r w:rsidR="00251493" w:rsidRPr="0019387F">
        <w:rPr>
          <w:rFonts w:cs="Arial"/>
        </w:rPr>
        <w:t xml:space="preserve">§ 12 Abs. 5 </w:t>
      </w:r>
      <w:proofErr w:type="spellStart"/>
      <w:r w:rsidR="00BD500A">
        <w:rPr>
          <w:rFonts w:cs="Arial"/>
        </w:rPr>
        <w:t>StudAkkV</w:t>
      </w:r>
      <w:proofErr w:type="spellEnd"/>
      <w:r w:rsidR="00251493" w:rsidRPr="0019387F">
        <w:rPr>
          <w:rFonts w:cs="Arial"/>
        </w:rPr>
        <w:t>)</w:t>
      </w:r>
      <w:bookmarkEnd w:id="47"/>
    </w:p>
    <w:p w14:paraId="0EDB8B4C" w14:textId="77777777" w:rsidR="00384515" w:rsidRDefault="00384515" w:rsidP="00384515">
      <w:pPr>
        <w:spacing w:before="0" w:after="120"/>
        <w:rPr>
          <w:rFonts w:cs="Arial"/>
          <w:b/>
          <w:color w:val="A71930"/>
          <w:szCs w:val="22"/>
        </w:rPr>
      </w:pPr>
      <w:r>
        <w:rPr>
          <w:rFonts w:cs="Arial"/>
          <w:b/>
          <w:color w:val="A71930"/>
          <w:szCs w:val="22"/>
        </w:rPr>
        <w:t>Sachstand</w:t>
      </w:r>
    </w:p>
    <w:p w14:paraId="00F91652" w14:textId="77777777" w:rsidR="00864BDA" w:rsidRPr="004969C3" w:rsidRDefault="00864BDA" w:rsidP="00864BDA">
      <w:pPr>
        <w:rPr>
          <w:u w:val="single"/>
          <w:lang w:eastAsia="en-US"/>
        </w:rPr>
      </w:pPr>
      <w:r>
        <w:rPr>
          <w:u w:val="single"/>
          <w:lang w:eastAsia="en-US"/>
        </w:rPr>
        <w:t>Planbarer und verlässlicher Studienbetrieb</w:t>
      </w:r>
    </w:p>
    <w:p w14:paraId="2921B44C" w14:textId="5EBB87BF" w:rsidR="00F30ACE" w:rsidRDefault="00F30ACE" w:rsidP="00F30ACE">
      <w:pPr>
        <w:rPr>
          <w:lang w:eastAsia="en-US"/>
        </w:rPr>
      </w:pPr>
      <w:r w:rsidRPr="00F30ACE">
        <w:rPr>
          <w:lang w:eastAsia="en-US"/>
        </w:rPr>
        <w:t xml:space="preserve">In Bezug auf Planbarkeit, Überschneidungsfreiheit, Modulgröße und Prüfungsdichte gibt die Hochschule an, dass alle notwendigen Vorkehrungen getroffen werden, um diese Faktoren als Gründe für Studienzeitverlängerungen auszuschließen. Darüber hinaus führt die Hochschule im Selbstbericht aus, dass alle Lehrveranstaltungen der Studiengänge des </w:t>
      </w:r>
      <w:r w:rsidR="00190929">
        <w:rPr>
          <w:lang w:eastAsia="en-US"/>
        </w:rPr>
        <w:t>Fakultät</w:t>
      </w:r>
      <w:r w:rsidRPr="00F30ACE">
        <w:rPr>
          <w:lang w:eastAsia="en-US"/>
        </w:rPr>
        <w:t xml:space="preserve"> 1 </w:t>
      </w:r>
      <w:r w:rsidR="00190929">
        <w:rPr>
          <w:lang w:eastAsia="en-US"/>
        </w:rPr>
        <w:t xml:space="preserve">MINT </w:t>
      </w:r>
      <w:r w:rsidRPr="00F30ACE">
        <w:rPr>
          <w:lang w:eastAsia="en-US"/>
        </w:rPr>
        <w:t>zentral durch das Dekanat geplant werden. Alle Lehrveranstaltungen werden zudem online veröffentlicht und sind somit für die Studierenden einsehbar.</w:t>
      </w:r>
    </w:p>
    <w:p w14:paraId="7CEA49F2" w14:textId="77777777" w:rsidR="002556FF" w:rsidRDefault="002556FF" w:rsidP="00F30ACE">
      <w:pPr>
        <w:rPr>
          <w:lang w:eastAsia="en-US"/>
        </w:rPr>
      </w:pPr>
      <w:r w:rsidRPr="002556FF">
        <w:rPr>
          <w:lang w:eastAsia="en-US"/>
        </w:rPr>
        <w:t xml:space="preserve">Um die Studierenden der internationalen Studiengänge adäquat zu betreuen und bei ihrem Studium an der BTU bestmöglich zu unterstützen, wurde gemäß Selbstbericht das Büro für Internationale Studiengänge (BIS) an der BTU eingerichtet. Es ergänzt bestehende Serviceeinrichtungen wie das International Relations Office und gehört zur Abteilung Studium und Lehre im Geschäftsbereich des Vizepräsidenten für Studium und Lehre. Für den internationalen Masterstudiengang Micro- </w:t>
      </w:r>
      <w:proofErr w:type="spellStart"/>
      <w:r w:rsidRPr="002556FF">
        <w:rPr>
          <w:lang w:eastAsia="en-US"/>
        </w:rPr>
        <w:t>and</w:t>
      </w:r>
      <w:proofErr w:type="spellEnd"/>
      <w:r w:rsidRPr="002556FF">
        <w:rPr>
          <w:lang w:eastAsia="en-US"/>
        </w:rPr>
        <w:t xml:space="preserve"> </w:t>
      </w:r>
      <w:proofErr w:type="spellStart"/>
      <w:r w:rsidRPr="002556FF">
        <w:rPr>
          <w:lang w:eastAsia="en-US"/>
        </w:rPr>
        <w:t>Nanoelectronics</w:t>
      </w:r>
      <w:proofErr w:type="spellEnd"/>
      <w:r w:rsidRPr="002556FF">
        <w:rPr>
          <w:lang w:eastAsia="en-US"/>
        </w:rPr>
        <w:t xml:space="preserve"> steht hier ein </w:t>
      </w:r>
      <w:proofErr w:type="spellStart"/>
      <w:r w:rsidRPr="002556FF">
        <w:rPr>
          <w:lang w:eastAsia="en-US"/>
        </w:rPr>
        <w:t>Studiengangskoordinator</w:t>
      </w:r>
      <w:proofErr w:type="spellEnd"/>
      <w:r w:rsidRPr="002556FF">
        <w:rPr>
          <w:lang w:eastAsia="en-US"/>
        </w:rPr>
        <w:t xml:space="preserve"> zur Verfügung, der insbesondere an den Schnittstellen zwischen curricularen Anforderungen und deren administrativer und organisatorischer Umsetzung unterstützt.</w:t>
      </w:r>
    </w:p>
    <w:p w14:paraId="239C70DB" w14:textId="5B8448D0" w:rsidR="00864BDA" w:rsidRDefault="00864BDA" w:rsidP="00F30ACE">
      <w:pPr>
        <w:rPr>
          <w:u w:val="single"/>
          <w:lang w:eastAsia="en-US"/>
        </w:rPr>
      </w:pPr>
      <w:r>
        <w:rPr>
          <w:u w:val="single"/>
          <w:lang w:eastAsia="en-US"/>
        </w:rPr>
        <w:t>Arbeitsaufwand</w:t>
      </w:r>
    </w:p>
    <w:p w14:paraId="76A24115" w14:textId="1073B3EF" w:rsidR="00190929" w:rsidRDefault="00F30ACE" w:rsidP="00190929">
      <w:pPr>
        <w:spacing w:before="0" w:after="120"/>
        <w:rPr>
          <w:rFonts w:cs="Arial"/>
          <w:szCs w:val="22"/>
        </w:rPr>
      </w:pPr>
      <w:r>
        <w:rPr>
          <w:rFonts w:cs="Arial"/>
          <w:szCs w:val="22"/>
        </w:rPr>
        <w:t xml:space="preserve">In dem </w:t>
      </w:r>
      <w:r w:rsidRPr="00706D94">
        <w:rPr>
          <w:rFonts w:cs="Arial"/>
          <w:szCs w:val="22"/>
        </w:rPr>
        <w:t>Studieng</w:t>
      </w:r>
      <w:r>
        <w:rPr>
          <w:rFonts w:cs="Arial"/>
          <w:szCs w:val="22"/>
        </w:rPr>
        <w:t>ang</w:t>
      </w:r>
      <w:r w:rsidRPr="00706D94">
        <w:rPr>
          <w:rFonts w:cs="Arial"/>
          <w:szCs w:val="22"/>
        </w:rPr>
        <w:t xml:space="preserve"> wird das ECTS-Kreditpunktesystem verwendet, das auf dem studentischen Arbeitsaufwand beruht. </w:t>
      </w:r>
      <w:r w:rsidR="00190929" w:rsidRPr="00190929">
        <w:rPr>
          <w:rFonts w:cs="Arial"/>
          <w:szCs w:val="22"/>
        </w:rPr>
        <w:t xml:space="preserve">Ein ECTS-Punkt entspricht gemäß § 5 der </w:t>
      </w:r>
      <w:proofErr w:type="spellStart"/>
      <w:r w:rsidR="00190929" w:rsidRPr="00190929">
        <w:rPr>
          <w:rFonts w:cs="Arial"/>
          <w:szCs w:val="22"/>
        </w:rPr>
        <w:t>studiengangsspezifischen</w:t>
      </w:r>
      <w:proofErr w:type="spellEnd"/>
      <w:r w:rsidR="00190929" w:rsidRPr="00190929">
        <w:rPr>
          <w:rFonts w:cs="Arial"/>
          <w:szCs w:val="22"/>
        </w:rPr>
        <w:t xml:space="preserve"> Prüfungsordnung einem studentischen Arbeitsaufwand von 30 Stunden. Für jedes Modul sind ECTS-Punkte und die Bedingungen für deren Erwerb festgelegt. In der Vollzeitvariante sind für jedes Semester 30 ECTS-Punkte vorgesehen. In der Teilzeitvariante reduziert sich diese Zahl a</w:t>
      </w:r>
      <w:r w:rsidR="00190929">
        <w:rPr>
          <w:rFonts w:cs="Arial"/>
          <w:szCs w:val="22"/>
        </w:rPr>
        <w:t xml:space="preserve">uf die Hälfte der ECTS-Punkte. </w:t>
      </w:r>
      <w:r w:rsidR="00190929" w:rsidRPr="00190929">
        <w:rPr>
          <w:rFonts w:cs="Arial"/>
          <w:szCs w:val="22"/>
        </w:rPr>
        <w:t xml:space="preserve">Die Module des Studiengangs umfassen sechs oder mehr ECTS-Punkte. Es werden also maximal fünf Module pro Semester absolviert. </w:t>
      </w:r>
    </w:p>
    <w:p w14:paraId="58DC35C7" w14:textId="77777777" w:rsidR="003477C9" w:rsidRPr="00F30ACE" w:rsidRDefault="003477C9" w:rsidP="003477C9">
      <w:pPr>
        <w:rPr>
          <w:szCs w:val="22"/>
        </w:rPr>
      </w:pPr>
      <w:r>
        <w:rPr>
          <w:szCs w:val="22"/>
        </w:rPr>
        <w:t xml:space="preserve">Da der Studiengang erst im Wintersemester 2024/25 gestartet ist, liegen noch keine </w:t>
      </w:r>
      <w:proofErr w:type="spellStart"/>
      <w:r>
        <w:rPr>
          <w:szCs w:val="22"/>
        </w:rPr>
        <w:t>Kohortenstatistiken</w:t>
      </w:r>
      <w:proofErr w:type="spellEnd"/>
      <w:r>
        <w:rPr>
          <w:szCs w:val="22"/>
        </w:rPr>
        <w:t xml:space="preserve"> vor. </w:t>
      </w:r>
    </w:p>
    <w:p w14:paraId="3FEC27A9" w14:textId="3C07144A" w:rsidR="00864BDA" w:rsidRDefault="00864BDA" w:rsidP="00190929">
      <w:pPr>
        <w:rPr>
          <w:rFonts w:cs="Arial"/>
          <w:szCs w:val="22"/>
          <w:u w:val="single"/>
        </w:rPr>
      </w:pPr>
      <w:r>
        <w:rPr>
          <w:rFonts w:cs="Arial"/>
          <w:szCs w:val="22"/>
          <w:u w:val="single"/>
        </w:rPr>
        <w:t>Prüfungsdichte und -</w:t>
      </w:r>
      <w:r w:rsidRPr="00FF0E14">
        <w:rPr>
          <w:rFonts w:cs="Arial"/>
          <w:szCs w:val="22"/>
          <w:u w:val="single"/>
        </w:rPr>
        <w:t>organisation</w:t>
      </w:r>
    </w:p>
    <w:p w14:paraId="4A4E7B69" w14:textId="77777777" w:rsidR="00190929" w:rsidRPr="00190929" w:rsidRDefault="00190929" w:rsidP="00190929">
      <w:pPr>
        <w:rPr>
          <w:rFonts w:cs="Arial"/>
          <w:szCs w:val="22"/>
        </w:rPr>
      </w:pPr>
      <w:r w:rsidRPr="00190929">
        <w:rPr>
          <w:rFonts w:cs="Arial"/>
          <w:szCs w:val="22"/>
        </w:rPr>
        <w:lastRenderedPageBreak/>
        <w:t xml:space="preserve">Für den zu akkreditierenden Studiengang sind alle Prüfungsmodalitäten in der Allgemeinen Prüfungs- und Studienordnung für Masterstudiengänge der BTU geregelt. Jedes Modul wird mit einer Prüfungsleistung abgeschlossen. Aufgrund der Modulstruktur ergeben sich maximal fünf Prüfungen pro Semester. </w:t>
      </w:r>
    </w:p>
    <w:p w14:paraId="0850D828" w14:textId="41C1686C" w:rsidR="00F87638" w:rsidRDefault="00190929" w:rsidP="001E0BB7">
      <w:pPr>
        <w:rPr>
          <w:rFonts w:cs="Arial"/>
          <w:szCs w:val="22"/>
        </w:rPr>
      </w:pPr>
      <w:r w:rsidRPr="00190929">
        <w:rPr>
          <w:rFonts w:cs="Arial"/>
          <w:szCs w:val="22"/>
        </w:rPr>
        <w:t xml:space="preserve">Die Hochschule gibt im Selbstbericht an, dass an der BTU alle Prüfungszeiträume zentral festgelegt werden und mindestens eine Woche von den Vorlesungszeiten getrennt sind, um eine Überschneidungsfreiheit von Prüfungen und Lehrveranstaltungen zu gewährleisten. Die Planung der Prüfungstermine obliegt den Prüfungsausschüssen. In anderen Studiengängen der Fakultät </w:t>
      </w:r>
      <w:r w:rsidR="001E0BB7">
        <w:rPr>
          <w:rFonts w:cs="Arial"/>
          <w:szCs w:val="22"/>
        </w:rPr>
        <w:t xml:space="preserve">1 MINT </w:t>
      </w:r>
      <w:r w:rsidRPr="00190929">
        <w:rPr>
          <w:rFonts w:cs="Arial"/>
          <w:szCs w:val="22"/>
        </w:rPr>
        <w:t>werden mündliche Prüfungstermine häufig auch individuell mit den Studierenden vereinbart, um Überschneidungen gezielt zu vermeiden.</w:t>
      </w:r>
      <w:r w:rsidR="001E0BB7">
        <w:rPr>
          <w:rFonts w:cs="Arial"/>
          <w:szCs w:val="22"/>
        </w:rPr>
        <w:t xml:space="preserve"> </w:t>
      </w:r>
      <w:r w:rsidR="001E0BB7" w:rsidRPr="001E0BB7">
        <w:rPr>
          <w:rFonts w:cs="Arial"/>
          <w:szCs w:val="22"/>
        </w:rPr>
        <w:t>Die Regelungen zur Wiederholung von Prüfungen sind in der Rahmenordnung festgelegt. Demnach kann eine Modulprüfung zweimal wiederholt werden, für die Abschlussarbeit gelten besondere Regelungen.</w:t>
      </w:r>
    </w:p>
    <w:p w14:paraId="2AC32918" w14:textId="77777777" w:rsidR="00F87638" w:rsidRPr="007B58D9" w:rsidRDefault="00F87638" w:rsidP="00384515">
      <w:pPr>
        <w:spacing w:before="0" w:after="120" w:line="240" w:lineRule="auto"/>
        <w:rPr>
          <w:rFonts w:cs="Arial"/>
          <w:szCs w:val="22"/>
        </w:rPr>
      </w:pPr>
    </w:p>
    <w:p w14:paraId="5DEB99F3" w14:textId="77777777" w:rsidR="00384515" w:rsidRDefault="00384515" w:rsidP="00384515">
      <w:pPr>
        <w:spacing w:before="0" w:after="120" w:line="240" w:lineRule="auto"/>
        <w:rPr>
          <w:rFonts w:cs="Arial"/>
          <w:b/>
          <w:color w:val="A71930"/>
          <w:szCs w:val="22"/>
        </w:rPr>
      </w:pPr>
      <w:r w:rsidRPr="00457100">
        <w:rPr>
          <w:rFonts w:cs="Arial"/>
          <w:b/>
          <w:color w:val="A71930"/>
          <w:szCs w:val="22"/>
        </w:rPr>
        <w:t>Bewertung: Stärken und Entwicklungsbedarf</w:t>
      </w:r>
    </w:p>
    <w:p w14:paraId="5CC06194" w14:textId="332FE05F" w:rsidR="00D07EF5" w:rsidRPr="00D07EF5" w:rsidRDefault="00D07EF5" w:rsidP="001E0BB7">
      <w:pPr>
        <w:rPr>
          <w:u w:val="single"/>
          <w:lang w:eastAsia="en-US"/>
        </w:rPr>
      </w:pPr>
      <w:r>
        <w:rPr>
          <w:u w:val="single"/>
          <w:lang w:eastAsia="en-US"/>
        </w:rPr>
        <w:t>Planbarer und verlässlicher Studienbetrieb</w:t>
      </w:r>
    </w:p>
    <w:p w14:paraId="11815E62" w14:textId="77777777" w:rsidR="0035748D" w:rsidRDefault="0035748D" w:rsidP="0035748D">
      <w:r>
        <w:t xml:space="preserve">Die </w:t>
      </w:r>
      <w:proofErr w:type="spellStart"/>
      <w:proofErr w:type="gramStart"/>
      <w:r>
        <w:t>Gutachter:innen</w:t>
      </w:r>
      <w:proofErr w:type="spellEnd"/>
      <w:proofErr w:type="gramEnd"/>
      <w:r>
        <w:t xml:space="preserve"> sehen die Planungssicherheit für die Studierenden als gegeben an. Ebenso ist aus ihrer Sicht die Überschneidungsfreiheit in den Pflichtmodulen gewährleistet.</w:t>
      </w:r>
    </w:p>
    <w:p w14:paraId="362F894C" w14:textId="35480749" w:rsidR="0035748D" w:rsidRDefault="0035748D" w:rsidP="0035748D">
      <w:r>
        <w:t xml:space="preserve">Auch die Studierenden der verwandten Studiengänge geben an, dass alle studienrelevanten Informationen rechtzeitig kommuniziert werden bzw. auf der Homepage der BTU zu finden sind und ein </w:t>
      </w:r>
      <w:r w:rsidRPr="0035748D">
        <w:t>verlässlicher Studienbetrieb</w:t>
      </w:r>
      <w:r>
        <w:t xml:space="preserve"> in ihren Studiengängen gewährleistet ist. </w:t>
      </w:r>
    </w:p>
    <w:p w14:paraId="05BEA5AE" w14:textId="5EAD374E" w:rsidR="00975B77" w:rsidRDefault="00975B77" w:rsidP="0035748D">
      <w:pPr>
        <w:rPr>
          <w:u w:val="single"/>
          <w:lang w:eastAsia="en-US"/>
        </w:rPr>
      </w:pPr>
      <w:r>
        <w:rPr>
          <w:u w:val="single"/>
          <w:lang w:eastAsia="en-US"/>
        </w:rPr>
        <w:t>Arbeitsaufwand</w:t>
      </w:r>
    </w:p>
    <w:p w14:paraId="4B5834FF" w14:textId="535C5B79" w:rsidR="00975B77" w:rsidRDefault="0035748D" w:rsidP="00120EE3">
      <w:pPr>
        <w:spacing w:before="0" w:after="120"/>
        <w:rPr>
          <w:szCs w:val="22"/>
        </w:rPr>
      </w:pPr>
      <w:r>
        <w:rPr>
          <w:szCs w:val="22"/>
        </w:rPr>
        <w:t xml:space="preserve">Der vorgesehene Arbeitsaufwand für die einzelnen Module erscheint den </w:t>
      </w:r>
      <w:proofErr w:type="spellStart"/>
      <w:proofErr w:type="gramStart"/>
      <w:r>
        <w:rPr>
          <w:szCs w:val="22"/>
        </w:rPr>
        <w:t>Gutachter:innen</w:t>
      </w:r>
      <w:proofErr w:type="spellEnd"/>
      <w:proofErr w:type="gramEnd"/>
      <w:r>
        <w:rPr>
          <w:szCs w:val="22"/>
        </w:rPr>
        <w:t xml:space="preserve"> angesichts der jeweiligen Modulziele und Inhalte grundsätzlich realistisch. Die Studierenden verwandter Studiengänge bestätigen im Audit, dass sie die Arbeitslast als angemessen empfinden. </w:t>
      </w:r>
      <w:r w:rsidR="00120EE3" w:rsidRPr="00120EE3">
        <w:rPr>
          <w:szCs w:val="22"/>
        </w:rPr>
        <w:t>Im zu akkreditierenden Studiengang soll der Workload durch regelmäßige Lehrveranstaltungsevaluationen überprüft und gegebenenfalls angepasst werden.</w:t>
      </w:r>
    </w:p>
    <w:p w14:paraId="1B2CA348" w14:textId="49D2FADF" w:rsidR="001E0BB7" w:rsidRDefault="001E0BB7" w:rsidP="00650AFD">
      <w:r w:rsidRPr="00D94826">
        <w:t xml:space="preserve">Da es sich um eine </w:t>
      </w:r>
      <w:r>
        <w:t xml:space="preserve">Erstakkreditierung handelt und der Studiengang erst wenige Wochen vor der Vor-Ort-Begehung gestartet ist, </w:t>
      </w:r>
      <w:r w:rsidRPr="00D94826">
        <w:t xml:space="preserve">liegen noch keine </w:t>
      </w:r>
      <w:proofErr w:type="spellStart"/>
      <w:r w:rsidRPr="00D94826">
        <w:t>Kohortenstatistiken</w:t>
      </w:r>
      <w:proofErr w:type="spellEnd"/>
      <w:r w:rsidRPr="00D94826">
        <w:t xml:space="preserve"> vor. Aufgrund der Unterlagen und der Auditgespräche sind die </w:t>
      </w:r>
      <w:proofErr w:type="spellStart"/>
      <w:proofErr w:type="gramStart"/>
      <w:r w:rsidRPr="00D94826">
        <w:t>Gutachter</w:t>
      </w:r>
      <w:r>
        <w:t>:innen</w:t>
      </w:r>
      <w:proofErr w:type="spellEnd"/>
      <w:proofErr w:type="gramEnd"/>
      <w:r w:rsidRPr="00D94826">
        <w:t xml:space="preserve"> jedoch überzeugt, dass der Studiengang in der Regelstudienzeit absolviert werden kann.</w:t>
      </w:r>
    </w:p>
    <w:p w14:paraId="6294923F" w14:textId="026C25A0" w:rsidR="00650AFD" w:rsidRDefault="00650AFD" w:rsidP="00650AFD">
      <w:r w:rsidRPr="00650AFD">
        <w:t xml:space="preserve">Wie in Kapitel § 12 Abs. 1 Sätze 1 bis 3 und 5 </w:t>
      </w:r>
      <w:proofErr w:type="spellStart"/>
      <w:r w:rsidRPr="00650AFD">
        <w:t>StudAkkV</w:t>
      </w:r>
      <w:proofErr w:type="spellEnd"/>
      <w:r w:rsidRPr="00650AFD">
        <w:t xml:space="preserve"> ausgeführt, nehmen die </w:t>
      </w:r>
      <w:proofErr w:type="spellStart"/>
      <w:proofErr w:type="gramStart"/>
      <w:r w:rsidRPr="00650AFD">
        <w:t>Gutachter:innen</w:t>
      </w:r>
      <w:proofErr w:type="spellEnd"/>
      <w:proofErr w:type="gramEnd"/>
      <w:r w:rsidRPr="00650AFD">
        <w:t xml:space="preserve"> jedoch mit Sorge den Passus in der </w:t>
      </w:r>
      <w:proofErr w:type="spellStart"/>
      <w:r w:rsidRPr="00650AFD">
        <w:t>studiengangsspezifischen</w:t>
      </w:r>
      <w:proofErr w:type="spellEnd"/>
      <w:r w:rsidRPr="00650AFD">
        <w:t xml:space="preserve"> Ordnung wahr, der besagt, dass </w:t>
      </w:r>
      <w:proofErr w:type="spellStart"/>
      <w:r w:rsidRPr="00650AFD">
        <w:t>Studienbewerber:innen</w:t>
      </w:r>
      <w:proofErr w:type="spellEnd"/>
      <w:r w:rsidRPr="00650AFD">
        <w:t xml:space="preserve"> mit fehlenden Vorkenntnissen Auflagenmodule im Umfang von bis zu 18 ECTS-Punkten während des Masterstudiums auferlegt werden können. Angesichts dieser hohen </w:t>
      </w:r>
      <w:r w:rsidRPr="00650AFD">
        <w:lastRenderedPageBreak/>
        <w:t xml:space="preserve">Anzahl an Leistungspunkten sind die </w:t>
      </w:r>
      <w:proofErr w:type="spellStart"/>
      <w:proofErr w:type="gramStart"/>
      <w:r w:rsidRPr="00650AFD">
        <w:t>Gutachter:innen</w:t>
      </w:r>
      <w:proofErr w:type="spellEnd"/>
      <w:proofErr w:type="gramEnd"/>
      <w:r w:rsidRPr="00650AFD">
        <w:t xml:space="preserve"> unsicher, wie die Studierenden damit umgehen sollen, wenn sie diese parallel zum regulären Masterstudium erwerben sollen. Die </w:t>
      </w:r>
      <w:proofErr w:type="spellStart"/>
      <w:proofErr w:type="gramStart"/>
      <w:r w:rsidRPr="00650AFD">
        <w:t>Gutachter:innen</w:t>
      </w:r>
      <w:proofErr w:type="spellEnd"/>
      <w:proofErr w:type="gramEnd"/>
      <w:r w:rsidRPr="00650AFD">
        <w:t xml:space="preserve"> begrüßen zwar, dass dies nach Aussage der Programmverantwortlichen mit allen Mitteln verhindert werden soll, weisen aber darauf hin, dass dies nach der </w:t>
      </w:r>
      <w:proofErr w:type="spellStart"/>
      <w:r w:rsidRPr="00650AFD">
        <w:t>studiengangsspezifischen</w:t>
      </w:r>
      <w:proofErr w:type="spellEnd"/>
      <w:r w:rsidRPr="00650AFD">
        <w:t xml:space="preserve"> Ordnung theoretisch möglich ist. Da die </w:t>
      </w:r>
      <w:proofErr w:type="spellStart"/>
      <w:proofErr w:type="gramStart"/>
      <w:r w:rsidRPr="00650AFD">
        <w:t>Gutachter:innen</w:t>
      </w:r>
      <w:proofErr w:type="spellEnd"/>
      <w:proofErr w:type="gramEnd"/>
      <w:r w:rsidRPr="00650AFD">
        <w:t xml:space="preserve"> befürchten, dass die Aufforderung zur Absolvierung von Pflichtmodulen im Umfang von bis zu 18 ECTS-Punkten zu einer zu hohen Arbeitsbelastung führen könnte, empfehlen sie, in Zukunft verstärkt auf diesen Sachverhalt zu achten und zu prüfen, ob die Absolvierung von Auflagenmodulen in diesem Umfang zu einer Verlängerung der Studiendauer und damit zu einer Überschreitung der Regelstudienzeit führt.  </w:t>
      </w:r>
    </w:p>
    <w:p w14:paraId="3E57E319" w14:textId="1A1F0F19" w:rsidR="005D7D86" w:rsidRDefault="005D7D86" w:rsidP="005D7D86">
      <w:r w:rsidRPr="005D7D86">
        <w:t xml:space="preserve">Des Weiteren fällt den </w:t>
      </w:r>
      <w:proofErr w:type="spellStart"/>
      <w:proofErr w:type="gramStart"/>
      <w:r w:rsidRPr="005D7D86">
        <w:t>Gutachter:innen</w:t>
      </w:r>
      <w:proofErr w:type="spellEnd"/>
      <w:proofErr w:type="gramEnd"/>
      <w:r w:rsidRPr="005D7D86">
        <w:t xml:space="preserve"> bei Durchsicht der Unterlagen auf, dass alle Wahlpflichtmodule der drei Themenbereiche einen Umfang von 6 ECTS-Punkten haben, mit Ausnahme des Moduls „</w:t>
      </w:r>
      <w:proofErr w:type="spellStart"/>
      <w:r w:rsidRPr="005D7D86">
        <w:t>Application-Specific</w:t>
      </w:r>
      <w:proofErr w:type="spellEnd"/>
      <w:r w:rsidRPr="005D7D86">
        <w:t xml:space="preserve"> Integrated Circuit Design </w:t>
      </w:r>
      <w:proofErr w:type="spellStart"/>
      <w:r w:rsidRPr="005D7D86">
        <w:t>and</w:t>
      </w:r>
      <w:proofErr w:type="spellEnd"/>
      <w:r w:rsidRPr="005D7D86">
        <w:t xml:space="preserve"> </w:t>
      </w:r>
      <w:proofErr w:type="spellStart"/>
      <w:r w:rsidRPr="005D7D86">
        <w:t>Characterization</w:t>
      </w:r>
      <w:proofErr w:type="spellEnd"/>
      <w:r w:rsidRPr="005D7D86">
        <w:t xml:space="preserve"> Lab“ mit 12 ECTS-Punkten und des Moduls „</w:t>
      </w:r>
      <w:proofErr w:type="spellStart"/>
      <w:r w:rsidRPr="005D7D86">
        <w:t>Neural</w:t>
      </w:r>
      <w:proofErr w:type="spellEnd"/>
      <w:r w:rsidRPr="005D7D86">
        <w:t xml:space="preserve"> Networks </w:t>
      </w:r>
      <w:proofErr w:type="spellStart"/>
      <w:r w:rsidRPr="005D7D86">
        <w:t>and</w:t>
      </w:r>
      <w:proofErr w:type="spellEnd"/>
      <w:r w:rsidRPr="005D7D86">
        <w:t xml:space="preserve"> Learning Theory” mit 8 ECTS-Punkten. Da pro Themengebiet zwei Module bzw. 12 ECTS-Punkte zu erwerben sind, wird dies durch die Wahl des Moduls „</w:t>
      </w:r>
      <w:proofErr w:type="spellStart"/>
      <w:r w:rsidRPr="005D7D86">
        <w:t>Application-Specific</w:t>
      </w:r>
      <w:proofErr w:type="spellEnd"/>
      <w:r w:rsidRPr="005D7D86">
        <w:t xml:space="preserve"> Integrated Circuit Design </w:t>
      </w:r>
      <w:proofErr w:type="spellStart"/>
      <w:r w:rsidRPr="005D7D86">
        <w:t>and</w:t>
      </w:r>
      <w:proofErr w:type="spellEnd"/>
      <w:r w:rsidRPr="005D7D86">
        <w:t xml:space="preserve"> </w:t>
      </w:r>
      <w:proofErr w:type="spellStart"/>
      <w:r w:rsidRPr="005D7D86">
        <w:t>Characterization</w:t>
      </w:r>
      <w:proofErr w:type="spellEnd"/>
      <w:r w:rsidRPr="005D7D86">
        <w:t xml:space="preserve"> Lab“ erreicht. Wird jedoch das Modul „</w:t>
      </w:r>
      <w:proofErr w:type="spellStart"/>
      <w:r w:rsidRPr="005D7D86">
        <w:t>Neural</w:t>
      </w:r>
      <w:proofErr w:type="spellEnd"/>
      <w:r w:rsidRPr="005D7D86">
        <w:t xml:space="preserve"> Networks </w:t>
      </w:r>
      <w:proofErr w:type="spellStart"/>
      <w:r w:rsidRPr="005D7D86">
        <w:t>and</w:t>
      </w:r>
      <w:proofErr w:type="spellEnd"/>
      <w:r w:rsidRPr="005D7D86">
        <w:t xml:space="preserve"> Learning Theory” mit 8 ECTS Punkten und ein weiteres Wahlpflichtmodul mit 6 ECTS Punkten gewählt, so ergeben sich 14 ECTS Punkte. Da es sich bei allen anderen Modulen um Pflichtmodule handelt, können die zwei zusätzlichen ECTS-Punkte nicht kompensiert werden. Studierende, die dieses Modul („</w:t>
      </w:r>
      <w:proofErr w:type="spellStart"/>
      <w:r w:rsidRPr="005D7D86">
        <w:t>Neura</w:t>
      </w:r>
      <w:r>
        <w:t>l</w:t>
      </w:r>
      <w:proofErr w:type="spellEnd"/>
      <w:r>
        <w:t xml:space="preserve"> Networks </w:t>
      </w:r>
      <w:proofErr w:type="spellStart"/>
      <w:r>
        <w:t>and</w:t>
      </w:r>
      <w:proofErr w:type="spellEnd"/>
      <w:r>
        <w:t xml:space="preserve"> Learning Theory”,</w:t>
      </w:r>
      <w:r w:rsidRPr="005D7D86">
        <w:t xml:space="preserve"> 8 ECTS) absolvieren, erwerben somit zwangsläufig immer 122 statt der vorgesehenen 122 ECTS-Punkte im Studium.</w:t>
      </w:r>
    </w:p>
    <w:p w14:paraId="3F142FBA" w14:textId="68CB012F" w:rsidR="00FB5FBA" w:rsidRDefault="005D7D86" w:rsidP="00650AFD">
      <w:r w:rsidRPr="005D7D86">
        <w:t xml:space="preserve">Die Programmverantwortlichen erklären dies damit, dass das Modul aus einem anderen, bereits bestehenden Studiengang übernommen wurde und dort diese fixe Größe hat. Die </w:t>
      </w:r>
      <w:proofErr w:type="spellStart"/>
      <w:proofErr w:type="gramStart"/>
      <w:r w:rsidRPr="005D7D86">
        <w:t>Gutachter:innen</w:t>
      </w:r>
      <w:proofErr w:type="spellEnd"/>
      <w:proofErr w:type="gramEnd"/>
      <w:r w:rsidRPr="005D7D86">
        <w:t xml:space="preserve"> können dies nachvollziehen, fordern aber dazu auf, den Studiengang so zu strukturieren, dass es den Studierenden möglich ist, in jeder möglichen Modulkombination ihr Studium mit den angegebenen 120 ECTS-Punkten abzuschließen.</w:t>
      </w:r>
    </w:p>
    <w:p w14:paraId="3AE1DD0F" w14:textId="6BEF9E30" w:rsidR="00650AFD" w:rsidRPr="00650AFD" w:rsidRDefault="00650AFD" w:rsidP="00650AFD">
      <w:r w:rsidRPr="00D94EC5">
        <w:rPr>
          <w:rFonts w:cs="Arial"/>
          <w:szCs w:val="22"/>
          <w:u w:val="single"/>
        </w:rPr>
        <w:t>Prüfungsdichte und Prüfungsorganisation</w:t>
      </w:r>
    </w:p>
    <w:p w14:paraId="776FA22C" w14:textId="7C8E8DE0" w:rsidR="00650AFD" w:rsidRDefault="00650AFD" w:rsidP="00650AFD">
      <w:r w:rsidRPr="000D0798">
        <w:rPr>
          <w:szCs w:val="22"/>
        </w:rPr>
        <w:t xml:space="preserve">Bezüglich der Prüfungsdichte sind die </w:t>
      </w:r>
      <w:proofErr w:type="spellStart"/>
      <w:proofErr w:type="gramStart"/>
      <w:r w:rsidRPr="000D0798">
        <w:rPr>
          <w:szCs w:val="22"/>
        </w:rPr>
        <w:t>Gutachter:innen</w:t>
      </w:r>
      <w:proofErr w:type="spellEnd"/>
      <w:proofErr w:type="gramEnd"/>
      <w:r w:rsidRPr="000D0798">
        <w:rPr>
          <w:szCs w:val="22"/>
        </w:rPr>
        <w:t xml:space="preserve"> der Ansicht, dass die Prüfungslast der Norm entspricht. </w:t>
      </w:r>
      <w:r>
        <w:rPr>
          <w:szCs w:val="22"/>
        </w:rPr>
        <w:t xml:space="preserve">Da jedes Modul mit nur einer Modulendprüfung abgeschlossen wird, müssen maximal fünf Prüfungen pro Semester absolviert werden. </w:t>
      </w:r>
      <w:r w:rsidRPr="000D0798">
        <w:rPr>
          <w:szCs w:val="22"/>
        </w:rPr>
        <w:t>Die Studierenden ähnlicher Studiengänge berichten im Audit, dass sie mit der Prüfungsorganisation und der Prüfungslast zufrieden sind.</w:t>
      </w:r>
    </w:p>
    <w:p w14:paraId="6244009D" w14:textId="77777777" w:rsidR="00650AFD" w:rsidRPr="007B58D9" w:rsidRDefault="00650AFD" w:rsidP="00384515">
      <w:pPr>
        <w:spacing w:before="0" w:after="120" w:line="240" w:lineRule="auto"/>
        <w:rPr>
          <w:rFonts w:cs="Arial"/>
          <w:szCs w:val="22"/>
        </w:rPr>
      </w:pPr>
    </w:p>
    <w:p w14:paraId="5F091D61" w14:textId="77777777" w:rsidR="00F26F20" w:rsidRPr="00FE735A" w:rsidRDefault="00F26F20" w:rsidP="00F26F20">
      <w:pPr>
        <w:pStyle w:val="Bewertung"/>
        <w:rPr>
          <w:rFonts w:ascii="Arial" w:hAnsi="Arial" w:cs="Arial"/>
          <w:i/>
          <w:sz w:val="22"/>
          <w:u w:val="single"/>
        </w:rPr>
      </w:pPr>
      <w:r w:rsidRPr="00FE735A">
        <w:rPr>
          <w:rFonts w:ascii="Arial" w:hAnsi="Arial" w:cs="Arial"/>
          <w:i/>
          <w:sz w:val="22"/>
          <w:u w:val="single"/>
        </w:rPr>
        <w:t>Ergänzung im Zuge der Stellungnahme der Hochschule</w:t>
      </w:r>
    </w:p>
    <w:p w14:paraId="7BB8EFBF" w14:textId="77777777" w:rsidR="00F26F20" w:rsidRDefault="00F26F20" w:rsidP="00F26F20">
      <w:pPr>
        <w:pStyle w:val="Bewertung"/>
        <w:rPr>
          <w:rFonts w:ascii="Arial" w:hAnsi="Arial" w:cs="Arial"/>
          <w:sz w:val="22"/>
        </w:rPr>
      </w:pPr>
      <w:r w:rsidRPr="00FE735A">
        <w:rPr>
          <w:rFonts w:ascii="Arial" w:hAnsi="Arial" w:cs="Arial"/>
          <w:sz w:val="22"/>
        </w:rPr>
        <w:t>[…]</w:t>
      </w:r>
    </w:p>
    <w:p w14:paraId="00D2669B" w14:textId="77777777" w:rsidR="00F26F20" w:rsidRPr="00FE735A" w:rsidRDefault="00F26F20" w:rsidP="00F26F20">
      <w:pPr>
        <w:pStyle w:val="Bewertung"/>
        <w:rPr>
          <w:rFonts w:ascii="Arial" w:hAnsi="Arial" w:cs="Arial"/>
          <w:i/>
          <w:sz w:val="22"/>
          <w:u w:val="single"/>
        </w:rPr>
      </w:pPr>
      <w:r>
        <w:rPr>
          <w:rFonts w:ascii="Arial" w:hAnsi="Arial" w:cs="Arial"/>
          <w:i/>
          <w:sz w:val="22"/>
          <w:u w:val="single"/>
        </w:rPr>
        <w:lastRenderedPageBreak/>
        <w:t>Ergänzung in Zuge der Qualitätsverbesserungsschleife</w:t>
      </w:r>
    </w:p>
    <w:p w14:paraId="22B6F14C" w14:textId="77777777" w:rsidR="00F26F20" w:rsidRDefault="00F26F20" w:rsidP="00F26F20">
      <w:pPr>
        <w:pStyle w:val="Bewertung"/>
        <w:rPr>
          <w:rFonts w:ascii="Arial" w:hAnsi="Arial" w:cs="Arial"/>
          <w:sz w:val="22"/>
        </w:rPr>
      </w:pPr>
      <w:r w:rsidRPr="00FE735A">
        <w:rPr>
          <w:rFonts w:ascii="Arial" w:hAnsi="Arial" w:cs="Arial"/>
          <w:sz w:val="22"/>
        </w:rPr>
        <w:t>[…]</w:t>
      </w:r>
    </w:p>
    <w:p w14:paraId="5F53B1CC" w14:textId="77777777" w:rsidR="00F723CB" w:rsidRPr="00457100" w:rsidRDefault="00F723CB" w:rsidP="001C31ED">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28D8C580" w14:textId="7E8DED52" w:rsidR="00F723CB" w:rsidRPr="00FD370C" w:rsidRDefault="00FD23F8" w:rsidP="001C31ED">
      <w:pPr>
        <w:spacing w:before="0"/>
        <w:rPr>
          <w:rFonts w:cs="Arial"/>
          <w:i/>
          <w:szCs w:val="22"/>
        </w:rPr>
      </w:pPr>
      <w:r>
        <w:rPr>
          <w:rFonts w:cs="Arial"/>
          <w:szCs w:val="22"/>
        </w:rPr>
        <w:t>N</w:t>
      </w:r>
      <w:r w:rsidR="00F723CB" w:rsidRPr="00FD370C">
        <w:rPr>
          <w:rFonts w:cs="Arial"/>
          <w:szCs w:val="22"/>
        </w:rPr>
        <w:t>icht erfüllt.</w:t>
      </w:r>
    </w:p>
    <w:p w14:paraId="1F1D8E54" w14:textId="07E59E2E" w:rsidR="00F723CB" w:rsidRDefault="00F723CB" w:rsidP="001C31ED">
      <w:pPr>
        <w:spacing w:before="0"/>
        <w:rPr>
          <w:rFonts w:cs="Arial"/>
          <w:i/>
          <w:szCs w:val="22"/>
        </w:rPr>
      </w:pPr>
      <w:r w:rsidRPr="00FD370C">
        <w:rPr>
          <w:rFonts w:cs="Arial"/>
          <w:szCs w:val="22"/>
        </w:rPr>
        <w:t>Das Gutachtergre</w:t>
      </w:r>
      <w:r w:rsidR="00FD23F8">
        <w:rPr>
          <w:rFonts w:cs="Arial"/>
          <w:szCs w:val="22"/>
        </w:rPr>
        <w:t>mium schlägt folgende Auflage</w:t>
      </w:r>
      <w:r w:rsidRPr="00FD370C">
        <w:rPr>
          <w:rFonts w:cs="Arial"/>
          <w:szCs w:val="22"/>
        </w:rPr>
        <w:t xml:space="preserve"> vor:</w:t>
      </w:r>
      <w:r>
        <w:rPr>
          <w:rFonts w:cs="Arial"/>
          <w:szCs w:val="22"/>
        </w:rPr>
        <w:t xml:space="preserve"> </w:t>
      </w:r>
    </w:p>
    <w:p w14:paraId="3DDA31CB" w14:textId="628D30A8" w:rsidR="00FD23F8" w:rsidRPr="00FD23F8" w:rsidRDefault="00FD23F8" w:rsidP="00FD23F8">
      <w:pPr>
        <w:pStyle w:val="Aufzhlung"/>
        <w:rPr>
          <w:rFonts w:ascii="Arial" w:hAnsi="Arial" w:cs="Arial"/>
          <w:sz w:val="22"/>
        </w:rPr>
      </w:pPr>
      <w:r w:rsidRPr="00FD23F8">
        <w:rPr>
          <w:rFonts w:ascii="Arial" w:hAnsi="Arial" w:cs="Arial"/>
          <w:sz w:val="22"/>
        </w:rPr>
        <w:t>Die Hochschule muss den Studierenden ermöglichen</w:t>
      </w:r>
      <w:r w:rsidR="00BA4FDF">
        <w:rPr>
          <w:rFonts w:ascii="Arial" w:hAnsi="Arial" w:cs="Arial"/>
          <w:sz w:val="22"/>
        </w:rPr>
        <w:t>,</w:t>
      </w:r>
      <w:r w:rsidRPr="00FD23F8">
        <w:rPr>
          <w:rFonts w:ascii="Arial" w:hAnsi="Arial" w:cs="Arial"/>
          <w:sz w:val="22"/>
        </w:rPr>
        <w:t xml:space="preserve"> ihr Studium mit 120 ECTS Punkten abzuschließen.</w:t>
      </w:r>
    </w:p>
    <w:p w14:paraId="4BE9E34A" w14:textId="72D7208B" w:rsidR="00F723CB" w:rsidRDefault="00F723CB" w:rsidP="001C31ED">
      <w:pPr>
        <w:spacing w:before="0"/>
        <w:rPr>
          <w:rFonts w:cs="Arial"/>
          <w:i/>
          <w:szCs w:val="22"/>
        </w:rPr>
      </w:pPr>
      <w:r w:rsidRPr="00FD370C">
        <w:rPr>
          <w:rFonts w:cs="Arial"/>
          <w:szCs w:val="22"/>
        </w:rPr>
        <w:t>Das Gutachtergremium gibt folgende Empfehlungen:</w:t>
      </w:r>
    </w:p>
    <w:p w14:paraId="66C15F41" w14:textId="6C7F51B4" w:rsidR="00F723CB" w:rsidRPr="003477C9" w:rsidRDefault="003477C9" w:rsidP="003477C9">
      <w:pPr>
        <w:pStyle w:val="Aufzhlung"/>
        <w:rPr>
          <w:rFonts w:ascii="Arial" w:hAnsi="Arial" w:cs="Arial"/>
          <w:sz w:val="22"/>
        </w:rPr>
      </w:pPr>
      <w:r w:rsidRPr="003477C9">
        <w:rPr>
          <w:rFonts w:ascii="Arial" w:hAnsi="Arial" w:cs="Arial"/>
          <w:sz w:val="22"/>
        </w:rPr>
        <w:t xml:space="preserve">Es wird empfohlen, zukünftig zu prüfen, ob die Durchführung von Auflagenmodulen im Umfang von bis zu 18 ECTS Punkten zu einer Überschreitung der Regelstudienzeit führt.  </w:t>
      </w:r>
    </w:p>
    <w:p w14:paraId="6B6E4C24" w14:textId="77777777" w:rsidR="003477C9" w:rsidRDefault="003477C9" w:rsidP="001C31ED">
      <w:pPr>
        <w:spacing w:before="0"/>
        <w:jc w:val="left"/>
        <w:rPr>
          <w:rFonts w:cs="Arial"/>
          <w:i/>
          <w:szCs w:val="22"/>
          <w:lang w:eastAsia="en-US"/>
        </w:rPr>
      </w:pPr>
    </w:p>
    <w:p w14:paraId="25C8634E" w14:textId="76F94111" w:rsidR="0019387F" w:rsidRPr="002D6DA2" w:rsidRDefault="00E746E1" w:rsidP="002D6DA2">
      <w:pPr>
        <w:pStyle w:val="berschrift4"/>
        <w:spacing w:before="0"/>
        <w:rPr>
          <w:i/>
        </w:rPr>
      </w:pPr>
      <w:bookmarkStart w:id="48" w:name="_(Wenn_einschlägig)_Besonderer"/>
      <w:bookmarkStart w:id="49" w:name="_Toc190351708"/>
      <w:bookmarkEnd w:id="48"/>
      <w:r w:rsidRPr="00093E1B">
        <w:t>Besonderer Profilanspruch</w:t>
      </w:r>
      <w:r w:rsidR="00D1447E">
        <w:t xml:space="preserve"> </w:t>
      </w:r>
      <w:r w:rsidR="00D1447E" w:rsidRPr="0019387F">
        <w:t>(</w:t>
      </w:r>
      <w:r w:rsidR="00D1447E" w:rsidRPr="0019387F">
        <w:rPr>
          <w:rFonts w:cs="Arial"/>
        </w:rPr>
        <w:t xml:space="preserve">§ 12 Abs. 6 </w:t>
      </w:r>
      <w:proofErr w:type="spellStart"/>
      <w:r w:rsidR="00BD500A">
        <w:rPr>
          <w:rFonts w:cs="Arial"/>
        </w:rPr>
        <w:t>StudAkkV</w:t>
      </w:r>
      <w:proofErr w:type="spellEnd"/>
      <w:r w:rsidR="00D1447E" w:rsidRPr="0019387F">
        <w:rPr>
          <w:rFonts w:cs="Arial"/>
        </w:rPr>
        <w:t>)</w:t>
      </w:r>
      <w:bookmarkEnd w:id="49"/>
    </w:p>
    <w:p w14:paraId="13965B0A" w14:textId="77777777" w:rsidR="00384515" w:rsidRDefault="00384515" w:rsidP="00384515">
      <w:pPr>
        <w:spacing w:before="0" w:after="120"/>
        <w:rPr>
          <w:rFonts w:cs="Arial"/>
          <w:b/>
          <w:color w:val="A71930"/>
          <w:szCs w:val="22"/>
        </w:rPr>
      </w:pPr>
      <w:r>
        <w:rPr>
          <w:rFonts w:cs="Arial"/>
          <w:b/>
          <w:color w:val="A71930"/>
          <w:szCs w:val="22"/>
        </w:rPr>
        <w:t>Sachstand</w:t>
      </w:r>
    </w:p>
    <w:p w14:paraId="2F3B2DEB" w14:textId="77777777" w:rsidR="003E0B48" w:rsidRDefault="003E0B48" w:rsidP="003E0B48">
      <w:r w:rsidRPr="003E0B48">
        <w:t xml:space="preserve">Gemäß der </w:t>
      </w:r>
      <w:proofErr w:type="spellStart"/>
      <w:r w:rsidRPr="003E0B48">
        <w:t>studiengangsspezifischen</w:t>
      </w:r>
      <w:proofErr w:type="spellEnd"/>
      <w:r w:rsidRPr="003E0B48">
        <w:t xml:space="preserve"> Studien- und Prüfungsordnung kann der Studiengang auf Antrag auch in Teilzeit studiert werden. Für alle weiteren Regelungen zum Teilzeitstudium wird auf die allgemeine Rahmenordnung der BTU verwiesen. Hier ist festgelegt, dass im Teilzeitstudium maximal 30 Leistungspunkte pro Studienjahr erworben werden können. Daraus ergibt sich eine Regelstudienzeit von acht Semestern. </w:t>
      </w:r>
    </w:p>
    <w:p w14:paraId="532B06F7" w14:textId="1ED6F187" w:rsidR="002D6DA2" w:rsidRPr="003E0B48" w:rsidRDefault="002D6DA2" w:rsidP="003E0B48">
      <w:r w:rsidRPr="002D6DA2">
        <w:t xml:space="preserve">Darüber hinaus ist der Masterstudiengang als internationaler Studiengang ausgewiesen. In diesem Studiengang werden alle Module in englischer Sprache unterrichtet. Die Prüfungssprache ist ebenfalls Englisch. Für die Zulassung ist ein entsprechendes Sprachniveau auf dem Niveau B2 des Gemeinsamen Europäischen Referenzrahmens (GER) nachzuweisen. Der Studiengang richtet sich daher nicht nur an deutsche, sondern in hohem Maße auch an internationale Studierende. Ein entsprechendes Betreuungsangebot für ausländische Studierende ist gemäß § 12 Abs. 5 </w:t>
      </w:r>
      <w:proofErr w:type="spellStart"/>
      <w:r w:rsidRPr="002D6DA2">
        <w:t>StudAkkV</w:t>
      </w:r>
      <w:proofErr w:type="spellEnd"/>
      <w:r w:rsidRPr="002D6DA2">
        <w:t xml:space="preserve"> eingerichtet.</w:t>
      </w:r>
    </w:p>
    <w:p w14:paraId="41C52FCA" w14:textId="77777777" w:rsidR="009C1AA8" w:rsidRDefault="009C1AA8" w:rsidP="00384515">
      <w:pPr>
        <w:spacing w:before="0" w:after="120" w:line="240" w:lineRule="auto"/>
        <w:rPr>
          <w:rFonts w:cs="Arial"/>
          <w:b/>
          <w:color w:val="A71930"/>
          <w:szCs w:val="22"/>
        </w:rPr>
      </w:pPr>
    </w:p>
    <w:p w14:paraId="52647245" w14:textId="10EF2759" w:rsidR="00384515" w:rsidRDefault="00384515" w:rsidP="00384515">
      <w:pPr>
        <w:spacing w:before="0" w:after="120" w:line="240" w:lineRule="auto"/>
        <w:rPr>
          <w:rFonts w:cs="Arial"/>
          <w:b/>
          <w:color w:val="A71930"/>
          <w:szCs w:val="22"/>
        </w:rPr>
      </w:pPr>
      <w:r w:rsidRPr="00457100">
        <w:rPr>
          <w:rFonts w:cs="Arial"/>
          <w:b/>
          <w:color w:val="A71930"/>
          <w:szCs w:val="22"/>
        </w:rPr>
        <w:t>Bewertung: Stärken und Entwicklungsbedarf</w:t>
      </w:r>
    </w:p>
    <w:p w14:paraId="4505F941" w14:textId="77777777" w:rsidR="002D6DA2" w:rsidRDefault="002D6DA2" w:rsidP="002D6DA2">
      <w:r>
        <w:t xml:space="preserve">Die </w:t>
      </w:r>
      <w:proofErr w:type="spellStart"/>
      <w:proofErr w:type="gramStart"/>
      <w:r>
        <w:t>Gutachter:innen</w:t>
      </w:r>
      <w:proofErr w:type="spellEnd"/>
      <w:proofErr w:type="gramEnd"/>
      <w:r>
        <w:t xml:space="preserve"> halten fest, dass alle Regelungen zum Teilzeitstudium verbindlich verankert und den Studierenden zugänglich sind. </w:t>
      </w:r>
    </w:p>
    <w:p w14:paraId="6C744271" w14:textId="6F47A773" w:rsidR="003E0B48" w:rsidRPr="002D6DA2" w:rsidRDefault="002D6DA2" w:rsidP="00576653">
      <w:r>
        <w:t xml:space="preserve">Zudem sehen die </w:t>
      </w:r>
      <w:proofErr w:type="spellStart"/>
      <w:proofErr w:type="gramStart"/>
      <w:r>
        <w:t>Gutachter:innen</w:t>
      </w:r>
      <w:proofErr w:type="spellEnd"/>
      <w:proofErr w:type="gramEnd"/>
      <w:r>
        <w:t xml:space="preserve"> alle Kriterien erfüllt, die den Masterstudiengang als international charakterisieren. Studierende anderer internationaler Studiengänge an der BTU geben im Audit an, gut an der BTU aufgenommen worden zu sein und schätzen die familiäre Atmosphäre an der Universität. Sie weisen jedoch darauf hin, dass der studentische Wohnraum auf dem Hauptcampus in Cottbus begrenzt ist und wünschen sich daher mehr Wohnraum. Die </w:t>
      </w:r>
      <w:proofErr w:type="spellStart"/>
      <w:proofErr w:type="gramStart"/>
      <w:r>
        <w:t>Gutachter:innen</w:t>
      </w:r>
      <w:proofErr w:type="spellEnd"/>
      <w:proofErr w:type="gramEnd"/>
      <w:r>
        <w:t xml:space="preserve"> können dies nachvollziehen und regen die Universität an, langfristig darüber nachzudenken, mehr Wohnraum speziell für internationale Studierende zu schaffen.</w:t>
      </w:r>
    </w:p>
    <w:p w14:paraId="4CD19049" w14:textId="77777777" w:rsidR="00384515" w:rsidRPr="002D6DA2" w:rsidRDefault="00384515" w:rsidP="00384515">
      <w:pPr>
        <w:spacing w:before="0" w:after="120" w:line="240" w:lineRule="auto"/>
        <w:rPr>
          <w:rFonts w:cs="Arial"/>
          <w:szCs w:val="22"/>
        </w:rPr>
      </w:pPr>
    </w:p>
    <w:p w14:paraId="1E992719" w14:textId="77777777" w:rsidR="00F26F20" w:rsidRPr="00FE735A" w:rsidRDefault="00F26F20" w:rsidP="00F26F20">
      <w:pPr>
        <w:pStyle w:val="Bewertung"/>
        <w:rPr>
          <w:rFonts w:ascii="Arial" w:hAnsi="Arial" w:cs="Arial"/>
          <w:i/>
          <w:sz w:val="22"/>
          <w:u w:val="single"/>
        </w:rPr>
      </w:pPr>
      <w:r w:rsidRPr="00FE735A">
        <w:rPr>
          <w:rFonts w:ascii="Arial" w:hAnsi="Arial" w:cs="Arial"/>
          <w:i/>
          <w:sz w:val="22"/>
          <w:u w:val="single"/>
        </w:rPr>
        <w:t>Ergänzung im Zuge der Stellungnahme der Hochschule</w:t>
      </w:r>
    </w:p>
    <w:p w14:paraId="747DB71B" w14:textId="77777777" w:rsidR="00F26F20" w:rsidRDefault="00F26F20" w:rsidP="00F26F20">
      <w:pPr>
        <w:pStyle w:val="Bewertung"/>
        <w:rPr>
          <w:rFonts w:ascii="Arial" w:hAnsi="Arial" w:cs="Arial"/>
          <w:sz w:val="22"/>
        </w:rPr>
      </w:pPr>
      <w:r w:rsidRPr="00FE735A">
        <w:rPr>
          <w:rFonts w:ascii="Arial" w:hAnsi="Arial" w:cs="Arial"/>
          <w:sz w:val="22"/>
        </w:rPr>
        <w:t>[…]</w:t>
      </w:r>
    </w:p>
    <w:p w14:paraId="15E67C86" w14:textId="77777777" w:rsidR="00F26F20" w:rsidRPr="00FE735A" w:rsidRDefault="00F26F20" w:rsidP="00F26F20">
      <w:pPr>
        <w:pStyle w:val="Bewertung"/>
        <w:rPr>
          <w:rFonts w:ascii="Arial" w:hAnsi="Arial" w:cs="Arial"/>
          <w:i/>
          <w:sz w:val="22"/>
          <w:u w:val="single"/>
        </w:rPr>
      </w:pPr>
      <w:r>
        <w:rPr>
          <w:rFonts w:ascii="Arial" w:hAnsi="Arial" w:cs="Arial"/>
          <w:i/>
          <w:sz w:val="22"/>
          <w:u w:val="single"/>
        </w:rPr>
        <w:t>Ergänzung in Zuge der Qualitätsverbesserungsschleife</w:t>
      </w:r>
    </w:p>
    <w:p w14:paraId="4643E1F1" w14:textId="77777777" w:rsidR="00F26F20" w:rsidRDefault="00F26F20" w:rsidP="00F26F20">
      <w:pPr>
        <w:pStyle w:val="Bewertung"/>
        <w:rPr>
          <w:rFonts w:ascii="Arial" w:hAnsi="Arial" w:cs="Arial"/>
          <w:sz w:val="22"/>
        </w:rPr>
      </w:pPr>
      <w:r w:rsidRPr="00FE735A">
        <w:rPr>
          <w:rFonts w:ascii="Arial" w:hAnsi="Arial" w:cs="Arial"/>
          <w:sz w:val="22"/>
        </w:rPr>
        <w:t>[…]</w:t>
      </w:r>
    </w:p>
    <w:p w14:paraId="353FBC68" w14:textId="77777777" w:rsidR="00F723CB" w:rsidRPr="00457100" w:rsidRDefault="00F723CB" w:rsidP="00B903DB">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64AB673F" w14:textId="4E87A49E" w:rsidR="00F723CB" w:rsidRPr="00FD370C" w:rsidRDefault="00F723CB" w:rsidP="002D6DA2">
      <w:pPr>
        <w:spacing w:before="0"/>
        <w:rPr>
          <w:rFonts w:cs="Arial"/>
          <w:szCs w:val="22"/>
        </w:rPr>
      </w:pPr>
      <w:r w:rsidRPr="00FD370C">
        <w:rPr>
          <w:rFonts w:cs="Arial"/>
          <w:szCs w:val="22"/>
        </w:rPr>
        <w:t>Erfüllt</w:t>
      </w:r>
      <w:r w:rsidR="002D6DA2">
        <w:rPr>
          <w:rFonts w:cs="Arial"/>
          <w:szCs w:val="22"/>
        </w:rPr>
        <w:t>.</w:t>
      </w:r>
    </w:p>
    <w:p w14:paraId="1EA4D4D3" w14:textId="77777777" w:rsidR="00B97EBB" w:rsidRPr="00457100" w:rsidRDefault="00B97EBB" w:rsidP="00B903DB">
      <w:pPr>
        <w:spacing w:before="0"/>
        <w:rPr>
          <w:rFonts w:cs="Arial"/>
          <w:szCs w:val="22"/>
          <w:lang w:eastAsia="en-US"/>
        </w:rPr>
      </w:pPr>
    </w:p>
    <w:p w14:paraId="34855C93" w14:textId="77777777" w:rsidR="006A3065" w:rsidRDefault="00225F95" w:rsidP="00B903DB">
      <w:pPr>
        <w:pStyle w:val="berschrift3"/>
        <w:numPr>
          <w:ilvl w:val="0"/>
          <w:numId w:val="0"/>
        </w:numPr>
        <w:spacing w:before="0" w:after="120"/>
        <w:ind w:left="567" w:hanging="567"/>
      </w:pPr>
      <w:bookmarkStart w:id="50" w:name="_Fachlich-Inhaltliche_Gestaltung_der"/>
      <w:bookmarkStart w:id="51" w:name="_Toc190351709"/>
      <w:bookmarkEnd w:id="50"/>
      <w:r w:rsidRPr="00457100">
        <w:t>Fachlich-Inhaltliche Gestaltung der Studiengänge</w:t>
      </w:r>
      <w:r w:rsidR="006E5F14" w:rsidRPr="00457100">
        <w:t xml:space="preserve"> (§ 13 </w:t>
      </w:r>
      <w:proofErr w:type="spellStart"/>
      <w:r w:rsidR="00BD500A">
        <w:t>StudAkkV</w:t>
      </w:r>
      <w:proofErr w:type="spellEnd"/>
      <w:r w:rsidR="006E5F14" w:rsidRPr="00457100">
        <w:t>)</w:t>
      </w:r>
      <w:bookmarkEnd w:id="51"/>
    </w:p>
    <w:p w14:paraId="2CE7A3C2" w14:textId="223BAA42" w:rsidR="0019387F" w:rsidRPr="0019387F" w:rsidRDefault="00E746E1" w:rsidP="00B80FF2">
      <w:pPr>
        <w:pStyle w:val="berschrift4"/>
        <w:spacing w:before="0"/>
      </w:pPr>
      <w:bookmarkStart w:id="52" w:name="_Qualifikationsziele"/>
      <w:bookmarkStart w:id="53" w:name="_Aktualität_der_fachlichen"/>
      <w:bookmarkStart w:id="54" w:name="_Toc190351710"/>
      <w:bookmarkEnd w:id="52"/>
      <w:bookmarkEnd w:id="53"/>
      <w:r w:rsidRPr="009A25F5">
        <w:t>Aktualität der fachlichen und wissenschaftlichen Anforderungen</w:t>
      </w:r>
      <w:r w:rsidR="00D1447E">
        <w:t xml:space="preserve"> </w:t>
      </w:r>
      <w:r w:rsidR="00D1447E" w:rsidRPr="0019387F">
        <w:t>(</w:t>
      </w:r>
      <w:r w:rsidR="00D1447E" w:rsidRPr="0019387F">
        <w:rPr>
          <w:rFonts w:cs="Arial"/>
        </w:rPr>
        <w:t xml:space="preserve">§ 13 Abs. 1 </w:t>
      </w:r>
      <w:proofErr w:type="spellStart"/>
      <w:r w:rsidR="00BD500A">
        <w:rPr>
          <w:rFonts w:cs="Arial"/>
        </w:rPr>
        <w:t>StudAkkV</w:t>
      </w:r>
      <w:proofErr w:type="spellEnd"/>
      <w:r w:rsidR="00D1447E" w:rsidRPr="0019387F">
        <w:rPr>
          <w:rFonts w:cs="Arial"/>
        </w:rPr>
        <w:t>)</w:t>
      </w:r>
      <w:bookmarkEnd w:id="54"/>
    </w:p>
    <w:p w14:paraId="4D822051" w14:textId="77777777" w:rsidR="00384515" w:rsidRDefault="00384515" w:rsidP="00384515">
      <w:pPr>
        <w:spacing w:before="0" w:after="120"/>
        <w:rPr>
          <w:rFonts w:cs="Arial"/>
          <w:b/>
          <w:color w:val="A71930"/>
          <w:szCs w:val="22"/>
        </w:rPr>
      </w:pPr>
      <w:r>
        <w:rPr>
          <w:rFonts w:cs="Arial"/>
          <w:b/>
          <w:color w:val="A71930"/>
          <w:szCs w:val="22"/>
        </w:rPr>
        <w:t>Sachstand</w:t>
      </w:r>
    </w:p>
    <w:p w14:paraId="467BB276" w14:textId="368FA676" w:rsidR="00B80FF2" w:rsidRDefault="00B80FF2" w:rsidP="00B80FF2">
      <w:r w:rsidRPr="00B80FF2">
        <w:t>Wie bereits dargestellt, unterhalten sowohl das Institut für Physik als auch das Institut für Elektrotechnik und Informationstechnik Kontakte zu verschiedenen Unternehmen und wissenschaftlichen Einrichtungen. Eine besondere Rolle spielen dabei die verschiedenen Forschungseinrichtungen, die hier im Zusammenhang mit dem Studiengang berei</w:t>
      </w:r>
      <w:r>
        <w:t xml:space="preserve">ts ausführlich erwähnt wurden.  </w:t>
      </w:r>
      <w:r w:rsidRPr="00B80FF2">
        <w:t xml:space="preserve">Der enge Kontakt zwischen Lehrenden und Industrie wird weiterhin durch die Betreuung von studentischen Projektarbeiten in verschiedenen Einrichtungen gepflegt. Hieraus ergeben sich neue Impulse für die fachliche und didaktische Gestaltung des Studiums. Darüber hinaus sind die Lehrenden in verschiedene Forschungsprojekte eingebunden und nehmen regelmäßig an wissenschaftlichen Tagungen teil. </w:t>
      </w:r>
    </w:p>
    <w:p w14:paraId="788388D8" w14:textId="564B6CB3" w:rsidR="00384515" w:rsidRDefault="00B80FF2" w:rsidP="00B80FF2">
      <w:r w:rsidRPr="00B80FF2">
        <w:t xml:space="preserve">Die Programmverantwortlichen berichten im Audit, dass regelmäßige Treffen der </w:t>
      </w:r>
      <w:proofErr w:type="spellStart"/>
      <w:r w:rsidRPr="00B80FF2">
        <w:t>Studiengangsverantwortlichen</w:t>
      </w:r>
      <w:proofErr w:type="spellEnd"/>
      <w:r w:rsidRPr="00B80FF2">
        <w:t xml:space="preserve"> und Lehrenden geplant sind, um die Aktualität und Angemessenheit der fachlichen und wissenschaftlichen Anforderungen des Studiengangs kontinuierlich zu überprüfen. Hierbei soll auch das Feedback aller Stakeholder, d.h. der Studierenden, der Industrievertreter und zukünftig auch der </w:t>
      </w:r>
      <w:proofErr w:type="spellStart"/>
      <w:proofErr w:type="gramStart"/>
      <w:r w:rsidRPr="00B80FF2">
        <w:t>Absolvent:innen</w:t>
      </w:r>
      <w:proofErr w:type="spellEnd"/>
      <w:proofErr w:type="gramEnd"/>
      <w:r w:rsidRPr="00B80FF2">
        <w:t xml:space="preserve"> berücksichtigt werden.</w:t>
      </w:r>
    </w:p>
    <w:p w14:paraId="2695FB4D" w14:textId="77777777" w:rsidR="00B80FF2" w:rsidRPr="007B58D9" w:rsidRDefault="00B80FF2" w:rsidP="00384515">
      <w:pPr>
        <w:spacing w:before="0" w:after="120" w:line="240" w:lineRule="auto"/>
        <w:rPr>
          <w:rFonts w:cs="Arial"/>
          <w:szCs w:val="22"/>
        </w:rPr>
      </w:pPr>
    </w:p>
    <w:p w14:paraId="29D6E1BD" w14:textId="77777777" w:rsidR="00B80FF2" w:rsidRDefault="00384515" w:rsidP="00B80FF2">
      <w:pPr>
        <w:spacing w:before="0" w:after="120" w:line="240" w:lineRule="auto"/>
        <w:rPr>
          <w:rFonts w:cs="Arial"/>
          <w:b/>
          <w:color w:val="A71930"/>
          <w:szCs w:val="22"/>
        </w:rPr>
      </w:pPr>
      <w:r w:rsidRPr="00457100">
        <w:rPr>
          <w:rFonts w:cs="Arial"/>
          <w:b/>
          <w:color w:val="A71930"/>
          <w:szCs w:val="22"/>
        </w:rPr>
        <w:t>Bewertung: Stärken und Entwicklungsbedarf</w:t>
      </w:r>
    </w:p>
    <w:p w14:paraId="72D9AEBC" w14:textId="1B109E67" w:rsidR="00384515" w:rsidRPr="00B80FF2" w:rsidRDefault="00B80FF2" w:rsidP="00B80FF2">
      <w:pPr>
        <w:rPr>
          <w:b/>
          <w:color w:val="A71930"/>
        </w:rPr>
      </w:pPr>
      <w:r w:rsidRPr="00FF2E33">
        <w:t xml:space="preserve">Die </w:t>
      </w:r>
      <w:proofErr w:type="spellStart"/>
      <w:proofErr w:type="gramStart"/>
      <w:r w:rsidRPr="00FF2E33">
        <w:t>Gutachter</w:t>
      </w:r>
      <w:r>
        <w:t>:innen</w:t>
      </w:r>
      <w:proofErr w:type="spellEnd"/>
      <w:proofErr w:type="gramEnd"/>
      <w:r w:rsidRPr="00FF2E33">
        <w:t xml:space="preserve"> sind der Ansicht, dass die Aktualität und Adäquanz </w:t>
      </w:r>
      <w:r>
        <w:t>der fachlichen und wissen</w:t>
      </w:r>
      <w:r w:rsidRPr="00FF2E33">
        <w:t>schaftlichen Anforderungen gewährleistet ist. Die fachlich-i</w:t>
      </w:r>
      <w:r>
        <w:t>nhaltliche Gestaltung und die metho</w:t>
      </w:r>
      <w:r w:rsidRPr="00FF2E33">
        <w:t>disch-didaktischen Ansätze de</w:t>
      </w:r>
      <w:r>
        <w:t>s</w:t>
      </w:r>
      <w:r w:rsidRPr="00FF2E33">
        <w:t xml:space="preserve"> Curricul</w:t>
      </w:r>
      <w:r>
        <w:t>ums</w:t>
      </w:r>
      <w:r w:rsidRPr="00FF2E33">
        <w:t xml:space="preserve"> </w:t>
      </w:r>
      <w:r>
        <w:t>sollen</w:t>
      </w:r>
      <w:r w:rsidRPr="00FF2E33">
        <w:t xml:space="preserve"> kontinuierlich überprüft und an fachliche und didaktische Weiterentwicklungen angepasst</w:t>
      </w:r>
      <w:r>
        <w:t xml:space="preserve"> werden</w:t>
      </w:r>
      <w:r w:rsidRPr="00FF2E33">
        <w:t xml:space="preserve">. Durch den Austausch mit Verbänden, Industrie und anderen Hochschulen erfolgt eine systematische Berücksichtigung des fachlichen Diskurses auf nationaler und internationaler Ebene. </w:t>
      </w:r>
    </w:p>
    <w:p w14:paraId="6A711E41" w14:textId="77777777" w:rsidR="00B80FF2" w:rsidRDefault="00F26F20" w:rsidP="00F26F20">
      <w:pPr>
        <w:pStyle w:val="Bewertung"/>
        <w:rPr>
          <w:rFonts w:ascii="Arial" w:hAnsi="Arial" w:cs="Arial"/>
          <w:i/>
          <w:sz w:val="22"/>
          <w:u w:val="single"/>
        </w:rPr>
      </w:pPr>
      <w:r w:rsidRPr="00FE735A">
        <w:rPr>
          <w:rFonts w:ascii="Arial" w:hAnsi="Arial" w:cs="Arial"/>
          <w:i/>
          <w:sz w:val="22"/>
          <w:u w:val="single"/>
        </w:rPr>
        <w:t>Ergänzung im Zuge d</w:t>
      </w:r>
      <w:r w:rsidR="00B80FF2">
        <w:rPr>
          <w:rFonts w:ascii="Arial" w:hAnsi="Arial" w:cs="Arial"/>
          <w:i/>
          <w:sz w:val="22"/>
          <w:u w:val="single"/>
        </w:rPr>
        <w:t>er Stellungnahme der Hochschule</w:t>
      </w:r>
    </w:p>
    <w:p w14:paraId="45900D33" w14:textId="5A899049" w:rsidR="00F26F20" w:rsidRPr="00B80FF2" w:rsidRDefault="00F26F20" w:rsidP="00F26F20">
      <w:pPr>
        <w:pStyle w:val="Bewertung"/>
        <w:rPr>
          <w:rFonts w:ascii="Arial" w:hAnsi="Arial" w:cs="Arial"/>
          <w:i/>
          <w:sz w:val="22"/>
          <w:u w:val="single"/>
        </w:rPr>
      </w:pPr>
      <w:r w:rsidRPr="00FE735A">
        <w:rPr>
          <w:rFonts w:ascii="Arial" w:hAnsi="Arial" w:cs="Arial"/>
          <w:sz w:val="22"/>
        </w:rPr>
        <w:t>[…]</w:t>
      </w:r>
    </w:p>
    <w:p w14:paraId="42574A53" w14:textId="77777777" w:rsidR="00F26F20" w:rsidRPr="00FE735A" w:rsidRDefault="00F26F20" w:rsidP="00F26F20">
      <w:pPr>
        <w:pStyle w:val="Bewertung"/>
        <w:rPr>
          <w:rFonts w:ascii="Arial" w:hAnsi="Arial" w:cs="Arial"/>
          <w:i/>
          <w:sz w:val="22"/>
          <w:u w:val="single"/>
        </w:rPr>
      </w:pPr>
      <w:r>
        <w:rPr>
          <w:rFonts w:ascii="Arial" w:hAnsi="Arial" w:cs="Arial"/>
          <w:i/>
          <w:sz w:val="22"/>
          <w:u w:val="single"/>
        </w:rPr>
        <w:lastRenderedPageBreak/>
        <w:t>Ergänzung in Zuge der Qualitätsverbesserungsschleife</w:t>
      </w:r>
    </w:p>
    <w:p w14:paraId="29CB221A" w14:textId="77777777" w:rsidR="00F26F20" w:rsidRDefault="00F26F20" w:rsidP="00F26F20">
      <w:pPr>
        <w:pStyle w:val="Bewertung"/>
        <w:rPr>
          <w:rFonts w:ascii="Arial" w:hAnsi="Arial" w:cs="Arial"/>
          <w:sz w:val="22"/>
        </w:rPr>
      </w:pPr>
      <w:r w:rsidRPr="00FE735A">
        <w:rPr>
          <w:rFonts w:ascii="Arial" w:hAnsi="Arial" w:cs="Arial"/>
          <w:sz w:val="22"/>
        </w:rPr>
        <w:t>[…]</w:t>
      </w:r>
    </w:p>
    <w:p w14:paraId="70E81203" w14:textId="77777777" w:rsidR="00F723CB" w:rsidRPr="00457100" w:rsidRDefault="00F723CB" w:rsidP="00B903DB">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61BA3E3A" w14:textId="7277586D" w:rsidR="00F723CB" w:rsidRPr="00FD370C" w:rsidRDefault="00CE3F85" w:rsidP="00CE3F85">
      <w:pPr>
        <w:spacing w:before="0"/>
        <w:rPr>
          <w:rFonts w:cs="Arial"/>
          <w:szCs w:val="22"/>
        </w:rPr>
      </w:pPr>
      <w:r>
        <w:rPr>
          <w:rFonts w:cs="Arial"/>
          <w:szCs w:val="22"/>
        </w:rPr>
        <w:t>Erfüllt.</w:t>
      </w:r>
    </w:p>
    <w:p w14:paraId="40F22165" w14:textId="77777777" w:rsidR="003916CD" w:rsidRPr="00457100" w:rsidRDefault="003916CD" w:rsidP="001C31ED">
      <w:pPr>
        <w:spacing w:before="0"/>
        <w:rPr>
          <w:rFonts w:cs="Arial"/>
          <w:i/>
          <w:szCs w:val="22"/>
          <w:lang w:eastAsia="en-US"/>
        </w:rPr>
      </w:pPr>
    </w:p>
    <w:p w14:paraId="23F7EFDE" w14:textId="77777777" w:rsidR="00225F95" w:rsidRDefault="004507AC" w:rsidP="001C31ED">
      <w:pPr>
        <w:pStyle w:val="berschrift4"/>
        <w:spacing w:before="0"/>
        <w:rPr>
          <w:i/>
        </w:rPr>
      </w:pPr>
      <w:bookmarkStart w:id="55" w:name="_(Wenn_einschlägig)_Lehramt"/>
      <w:bookmarkStart w:id="56" w:name="_Toc190351711"/>
      <w:bookmarkEnd w:id="55"/>
      <w:r w:rsidRPr="00BA1B4F">
        <w:t>Lehramt</w:t>
      </w:r>
      <w:r w:rsidR="00D1447E" w:rsidRPr="00BA1B4F">
        <w:t xml:space="preserve"> </w:t>
      </w:r>
      <w:r w:rsidR="00D1447E" w:rsidRPr="0019387F">
        <w:t>(</w:t>
      </w:r>
      <w:r w:rsidR="00D1447E" w:rsidRPr="0019387F">
        <w:rPr>
          <w:rFonts w:cs="Arial"/>
        </w:rPr>
        <w:t xml:space="preserve">§ 13 Abs. 2 und 3 </w:t>
      </w:r>
      <w:proofErr w:type="spellStart"/>
      <w:r w:rsidR="00BD500A">
        <w:rPr>
          <w:rFonts w:cs="Arial"/>
        </w:rPr>
        <w:t>StudAkkV</w:t>
      </w:r>
      <w:proofErr w:type="spellEnd"/>
      <w:r w:rsidR="00D1447E" w:rsidRPr="0019387F">
        <w:rPr>
          <w:rFonts w:cs="Arial"/>
        </w:rPr>
        <w:t>)</w:t>
      </w:r>
      <w:bookmarkEnd w:id="56"/>
    </w:p>
    <w:p w14:paraId="79B9D8C2" w14:textId="77777777" w:rsidR="00BD500A" w:rsidRDefault="00BD500A" w:rsidP="00BD500A">
      <w:pPr>
        <w:spacing w:before="0"/>
        <w:rPr>
          <w:rFonts w:cs="Arial"/>
          <w:i/>
          <w:szCs w:val="22"/>
        </w:rPr>
      </w:pPr>
      <w:r w:rsidRPr="00BD500A">
        <w:rPr>
          <w:i/>
          <w:lang w:eastAsia="en-US"/>
        </w:rPr>
        <w:t>Nicht einschlägig.</w:t>
      </w:r>
    </w:p>
    <w:p w14:paraId="69BD84C2" w14:textId="77777777" w:rsidR="003916CD" w:rsidRPr="00457100" w:rsidRDefault="003916CD" w:rsidP="001C31ED">
      <w:pPr>
        <w:spacing w:before="0"/>
        <w:rPr>
          <w:rFonts w:cs="Arial"/>
          <w:i/>
          <w:szCs w:val="22"/>
          <w:lang w:eastAsia="en-US"/>
        </w:rPr>
      </w:pPr>
    </w:p>
    <w:p w14:paraId="6C1620FA" w14:textId="76AB7A99" w:rsidR="0019387F" w:rsidRPr="0019387F" w:rsidRDefault="00520772" w:rsidP="00B67A70">
      <w:pPr>
        <w:pStyle w:val="berschrift3"/>
        <w:numPr>
          <w:ilvl w:val="0"/>
          <w:numId w:val="0"/>
        </w:numPr>
        <w:spacing w:before="0"/>
        <w:ind w:left="567" w:hanging="567"/>
      </w:pPr>
      <w:bookmarkStart w:id="57" w:name="_Studienerfolg_(§_14"/>
      <w:bookmarkStart w:id="58" w:name="_Toc190351712"/>
      <w:bookmarkEnd w:id="57"/>
      <w:r w:rsidRPr="00457100">
        <w:t>Studienerfolg</w:t>
      </w:r>
      <w:r w:rsidR="00F9140D" w:rsidRPr="00457100">
        <w:t xml:space="preserve"> </w:t>
      </w:r>
      <w:r w:rsidR="00F9140D" w:rsidRPr="0019387F">
        <w:t xml:space="preserve">(§ 14 </w:t>
      </w:r>
      <w:proofErr w:type="spellStart"/>
      <w:r w:rsidR="00BD500A">
        <w:t>StudAkkV</w:t>
      </w:r>
      <w:proofErr w:type="spellEnd"/>
      <w:r w:rsidR="00F9140D" w:rsidRPr="0019387F">
        <w:t>)</w:t>
      </w:r>
      <w:bookmarkEnd w:id="58"/>
    </w:p>
    <w:p w14:paraId="27FC129B" w14:textId="77777777" w:rsidR="00384515" w:rsidRDefault="00384515" w:rsidP="00384515">
      <w:pPr>
        <w:spacing w:before="0" w:after="120"/>
        <w:rPr>
          <w:rFonts w:cs="Arial"/>
          <w:b/>
          <w:color w:val="A71930"/>
          <w:szCs w:val="22"/>
        </w:rPr>
      </w:pPr>
      <w:r>
        <w:rPr>
          <w:rFonts w:cs="Arial"/>
          <w:b/>
          <w:color w:val="A71930"/>
          <w:szCs w:val="22"/>
        </w:rPr>
        <w:t>Sachstand</w:t>
      </w:r>
    </w:p>
    <w:p w14:paraId="40CA293C" w14:textId="77777777" w:rsidR="00B67A70" w:rsidRPr="00374430" w:rsidRDefault="00B67A70" w:rsidP="00B67A70">
      <w:pPr>
        <w:spacing w:before="0" w:after="120"/>
        <w:rPr>
          <w:rFonts w:cs="Arial"/>
          <w:szCs w:val="22"/>
        </w:rPr>
      </w:pPr>
      <w:r w:rsidRPr="00374430">
        <w:rPr>
          <w:rFonts w:cs="Arial"/>
          <w:szCs w:val="22"/>
        </w:rPr>
        <w:t>Die Qualitätssicherung und -entwicklung im Anwendungsbereich von Studium und Lehre an der BTU beruht auf der Satzung zur Evaluation von Lehre und Studium im Rahmen des universitäts-weiten Qualitätsmanagements (QM).</w:t>
      </w:r>
    </w:p>
    <w:p w14:paraId="269CC448" w14:textId="77777777" w:rsidR="00B67A70" w:rsidRPr="00374430" w:rsidRDefault="00B67A70" w:rsidP="00B67A70">
      <w:pPr>
        <w:spacing w:before="0" w:after="120"/>
        <w:rPr>
          <w:rFonts w:cs="Arial"/>
          <w:szCs w:val="22"/>
        </w:rPr>
      </w:pPr>
      <w:r w:rsidRPr="00374430">
        <w:rPr>
          <w:rFonts w:cs="Arial"/>
          <w:szCs w:val="22"/>
        </w:rPr>
        <w:t xml:space="preserve">Durch das in der Abteilung Studium und Lehre angesiedelte Referat </w:t>
      </w:r>
      <w:proofErr w:type="spellStart"/>
      <w:r w:rsidRPr="00374430">
        <w:rPr>
          <w:rFonts w:cs="Arial"/>
          <w:szCs w:val="22"/>
        </w:rPr>
        <w:t>Studiengangsentwicklung</w:t>
      </w:r>
      <w:proofErr w:type="spellEnd"/>
      <w:r w:rsidRPr="00374430">
        <w:rPr>
          <w:rFonts w:cs="Arial"/>
          <w:szCs w:val="22"/>
        </w:rPr>
        <w:t xml:space="preserve"> und Qualitätsmanagement werden als standardisierte Evalua</w:t>
      </w:r>
      <w:r>
        <w:rPr>
          <w:rFonts w:cs="Arial"/>
          <w:szCs w:val="22"/>
        </w:rPr>
        <w:t>tionen regelmäßig Lehrveranstal</w:t>
      </w:r>
      <w:r w:rsidRPr="00374430">
        <w:rPr>
          <w:rFonts w:cs="Arial"/>
          <w:szCs w:val="22"/>
        </w:rPr>
        <w:t>tungsevaluationen (</w:t>
      </w:r>
      <w:proofErr w:type="spellStart"/>
      <w:r w:rsidRPr="00374430">
        <w:rPr>
          <w:rFonts w:cs="Arial"/>
          <w:szCs w:val="22"/>
        </w:rPr>
        <w:t>LEva</w:t>
      </w:r>
      <w:proofErr w:type="spellEnd"/>
      <w:r w:rsidRPr="00374430">
        <w:rPr>
          <w:rFonts w:cs="Arial"/>
          <w:szCs w:val="22"/>
        </w:rPr>
        <w:t xml:space="preserve">) und </w:t>
      </w:r>
      <w:proofErr w:type="spellStart"/>
      <w:proofErr w:type="gramStart"/>
      <w:r w:rsidRPr="00374430">
        <w:rPr>
          <w:rFonts w:cs="Arial"/>
          <w:szCs w:val="22"/>
        </w:rPr>
        <w:t>Absolvent:innenbefragungen</w:t>
      </w:r>
      <w:proofErr w:type="spellEnd"/>
      <w:proofErr w:type="gramEnd"/>
      <w:r w:rsidRPr="00374430">
        <w:rPr>
          <w:rFonts w:cs="Arial"/>
          <w:szCs w:val="22"/>
        </w:rPr>
        <w:t xml:space="preserve"> (</w:t>
      </w:r>
      <w:proofErr w:type="spellStart"/>
      <w:r w:rsidRPr="00374430">
        <w:rPr>
          <w:rFonts w:cs="Arial"/>
          <w:szCs w:val="22"/>
        </w:rPr>
        <w:t>AbsB</w:t>
      </w:r>
      <w:proofErr w:type="spellEnd"/>
      <w:r w:rsidRPr="00374430">
        <w:rPr>
          <w:rFonts w:cs="Arial"/>
          <w:szCs w:val="22"/>
        </w:rPr>
        <w:t>) durchgeführt.</w:t>
      </w:r>
      <w:r>
        <w:rPr>
          <w:rFonts w:cs="Arial"/>
          <w:szCs w:val="22"/>
        </w:rPr>
        <w:t xml:space="preserve"> </w:t>
      </w:r>
      <w:r w:rsidRPr="00374430">
        <w:rPr>
          <w:rFonts w:cs="Arial"/>
          <w:szCs w:val="22"/>
        </w:rPr>
        <w:t xml:space="preserve">Bei den zentralen internen </w:t>
      </w:r>
      <w:proofErr w:type="spellStart"/>
      <w:r w:rsidRPr="00374430">
        <w:rPr>
          <w:rFonts w:cs="Arial"/>
          <w:szCs w:val="22"/>
        </w:rPr>
        <w:t>LEvas</w:t>
      </w:r>
      <w:proofErr w:type="spellEnd"/>
      <w:r w:rsidRPr="00374430">
        <w:rPr>
          <w:rFonts w:cs="Arial"/>
          <w:szCs w:val="22"/>
        </w:rPr>
        <w:t xml:space="preserve"> werden für ein Winter- und Sommersemester jeweils drei der sechs Fakultäten unter Beteiligung der Studierenden evaluiert. Die Evaluationen sind in der zweiten Hälfte des Semesters angesetzt, sodass die Ergebnisse im laufenden Semester den Lehrenden übermittelt werden können und sie sich mit den Studierenden dazu austauschen und ggf. noch in der evaluierten Veranstaltung Maßnahmen umsetzen können. Die Fakultäten leiten aus den Ergebnissen ggf. strukturelle Optimierungsmaßnahmen für</w:t>
      </w:r>
      <w:r>
        <w:rPr>
          <w:rFonts w:cs="Arial"/>
          <w:szCs w:val="22"/>
        </w:rPr>
        <w:t xml:space="preserve"> Lehre und Studium ab. Für sämt</w:t>
      </w:r>
      <w:r w:rsidRPr="00374430">
        <w:rPr>
          <w:rFonts w:cs="Arial"/>
          <w:szCs w:val="22"/>
        </w:rPr>
        <w:t>liche Lehrenden besteht darüber hinaus die Möglichkeit, eigene Evaluationen umzusetzen.</w:t>
      </w:r>
    </w:p>
    <w:p w14:paraId="086F6DAE" w14:textId="1D01BC75" w:rsidR="00B67A70" w:rsidRPr="00374430" w:rsidRDefault="00B67A70" w:rsidP="00B67A70">
      <w:pPr>
        <w:spacing w:before="0" w:after="120"/>
        <w:rPr>
          <w:rFonts w:cs="Arial"/>
          <w:szCs w:val="22"/>
        </w:rPr>
      </w:pPr>
      <w:r w:rsidRPr="00374430">
        <w:rPr>
          <w:rFonts w:cs="Arial"/>
          <w:szCs w:val="22"/>
        </w:rPr>
        <w:t>Mit der im Aufbau befindlichen Modulevaluation soll zukünftig e</w:t>
      </w:r>
      <w:r>
        <w:rPr>
          <w:rFonts w:cs="Arial"/>
          <w:szCs w:val="22"/>
        </w:rPr>
        <w:t>rmöglicht werden, gültige Ablei</w:t>
      </w:r>
      <w:r w:rsidRPr="00374430">
        <w:rPr>
          <w:rFonts w:cs="Arial"/>
          <w:szCs w:val="22"/>
        </w:rPr>
        <w:t>tungen zur Sicherung und Weiterentwicklung der Qualität von Modulen zu treffen.</w:t>
      </w:r>
    </w:p>
    <w:p w14:paraId="6D785A4E" w14:textId="77777777" w:rsidR="00B67A70" w:rsidRPr="00B67A70" w:rsidRDefault="00B67A70" w:rsidP="00B67A70">
      <w:r w:rsidRPr="00B67A70">
        <w:t>Eine Absolventenbefragung ist im Studiengang ebenfalls geplant und soll insbesondere darauf abzielen, die bestehenden curricularen Strukturen und Studienbedingungen zu reflektieren, um ggf. Veränderungen oder Anpassungen vorzunehmen.</w:t>
      </w:r>
    </w:p>
    <w:p w14:paraId="3D2D4EFC" w14:textId="77777777" w:rsidR="00B67A70" w:rsidRPr="00B67A70" w:rsidRDefault="00B67A70" w:rsidP="00B67A70">
      <w:r w:rsidRPr="00B67A70">
        <w:t>Neben den standardisierten Evaluationen führt die BTU auch qualitative Evaluationen zu Einzelaspekten durch. Die Ergebnisse aller Evaluationen stehen den für die Weiterentwicklung der jeweiligen Studiengänge zuständigen Gremien zur Verfügung.</w:t>
      </w:r>
    </w:p>
    <w:p w14:paraId="7461B809" w14:textId="0E3BDBB6" w:rsidR="00A20BBE" w:rsidRPr="007B58D9" w:rsidRDefault="00B67A70" w:rsidP="00B67A70">
      <w:r w:rsidRPr="00B67A70">
        <w:t xml:space="preserve">Im Audit erfahren die </w:t>
      </w:r>
      <w:proofErr w:type="spellStart"/>
      <w:proofErr w:type="gramStart"/>
      <w:r w:rsidRPr="00B67A70">
        <w:t>Gutachter:innen</w:t>
      </w:r>
      <w:proofErr w:type="spellEnd"/>
      <w:proofErr w:type="gramEnd"/>
      <w:r w:rsidRPr="00B67A70">
        <w:t xml:space="preserve"> darüber hinaus, dass der Dekan die Fachschaften regelmäßig zu Treffen einlädt, um besondere Anliegen der Studierenden zu diskutieren.</w:t>
      </w:r>
    </w:p>
    <w:p w14:paraId="0F71E2C2" w14:textId="77777777" w:rsidR="00384515" w:rsidRDefault="00384515" w:rsidP="00384515">
      <w:pPr>
        <w:spacing w:before="0" w:after="120" w:line="240" w:lineRule="auto"/>
        <w:rPr>
          <w:rFonts w:cs="Arial"/>
          <w:b/>
          <w:color w:val="A71930"/>
          <w:szCs w:val="22"/>
        </w:rPr>
      </w:pPr>
      <w:r w:rsidRPr="00457100">
        <w:rPr>
          <w:rFonts w:cs="Arial"/>
          <w:b/>
          <w:color w:val="A71930"/>
          <w:szCs w:val="22"/>
        </w:rPr>
        <w:t>Bewertung: Stärken und Entwicklungsbedarf</w:t>
      </w:r>
    </w:p>
    <w:p w14:paraId="7F284213" w14:textId="3D84944A" w:rsidR="00384515" w:rsidRPr="007B58D9" w:rsidRDefault="00B67A70" w:rsidP="00B67A70">
      <w:pPr>
        <w:rPr>
          <w:rFonts w:cs="Arial"/>
          <w:szCs w:val="22"/>
        </w:rPr>
      </w:pPr>
      <w:r w:rsidRPr="00B67A70">
        <w:lastRenderedPageBreak/>
        <w:t xml:space="preserve">Die </w:t>
      </w:r>
      <w:proofErr w:type="spellStart"/>
      <w:proofErr w:type="gramStart"/>
      <w:r w:rsidRPr="00B67A70">
        <w:t>Gutachter:innen</w:t>
      </w:r>
      <w:proofErr w:type="spellEnd"/>
      <w:proofErr w:type="gramEnd"/>
      <w:r w:rsidRPr="00B67A70">
        <w:t xml:space="preserve"> können sich anhand der Unterlagen und der Auditgespräche davon überzeugen, dass an der Hochschule ein funktionierendes Qualitätsmanagementsystem praktiziert wird und geeignete Prozesse und Mechanismen etabliert sind, um die Qualität des vorliegenden Programms effektiv zu sichern und weiterzuentwickeln. Studierende ähnlicher Studiengänge bestätigen, dass regelmäßig Lehrveranstaltungsevaluationen stattfinden und die Ergebnisse auch an die Studierenden zurückgespiegelt werden. Generell können die Studierenden ihr Feedback aber auch jederzeit in der Lehrveranstaltung äußern und mit den Lehrenden diskutieren. Sie geben an, dass ihr Feedback in der Regel berücksichtigt wird und dass Weiterentwicklungen im Allgemeinen sichtbar sind.</w:t>
      </w:r>
    </w:p>
    <w:p w14:paraId="467BDEB8" w14:textId="77777777" w:rsidR="00F26F20" w:rsidRPr="00FE735A" w:rsidRDefault="00F26F20" w:rsidP="00F26F20">
      <w:pPr>
        <w:pStyle w:val="Bewertung"/>
        <w:rPr>
          <w:rFonts w:ascii="Arial" w:hAnsi="Arial" w:cs="Arial"/>
          <w:i/>
          <w:sz w:val="22"/>
          <w:u w:val="single"/>
        </w:rPr>
      </w:pPr>
      <w:r w:rsidRPr="00FE735A">
        <w:rPr>
          <w:rFonts w:ascii="Arial" w:hAnsi="Arial" w:cs="Arial"/>
          <w:i/>
          <w:sz w:val="22"/>
          <w:u w:val="single"/>
        </w:rPr>
        <w:t>Ergänzung im Zuge der Stellungnahme der Hochschule</w:t>
      </w:r>
    </w:p>
    <w:p w14:paraId="191C1096" w14:textId="77777777" w:rsidR="00F26F20" w:rsidRDefault="00F26F20" w:rsidP="00F26F20">
      <w:pPr>
        <w:pStyle w:val="Bewertung"/>
        <w:rPr>
          <w:rFonts w:ascii="Arial" w:hAnsi="Arial" w:cs="Arial"/>
          <w:sz w:val="22"/>
        </w:rPr>
      </w:pPr>
      <w:r w:rsidRPr="00FE735A">
        <w:rPr>
          <w:rFonts w:ascii="Arial" w:hAnsi="Arial" w:cs="Arial"/>
          <w:sz w:val="22"/>
        </w:rPr>
        <w:t>[…]</w:t>
      </w:r>
    </w:p>
    <w:p w14:paraId="64B518DE" w14:textId="77777777" w:rsidR="00F26F20" w:rsidRPr="00FE735A" w:rsidRDefault="00F26F20" w:rsidP="00F26F20">
      <w:pPr>
        <w:pStyle w:val="Bewertung"/>
        <w:rPr>
          <w:rFonts w:ascii="Arial" w:hAnsi="Arial" w:cs="Arial"/>
          <w:i/>
          <w:sz w:val="22"/>
          <w:u w:val="single"/>
        </w:rPr>
      </w:pPr>
      <w:r>
        <w:rPr>
          <w:rFonts w:ascii="Arial" w:hAnsi="Arial" w:cs="Arial"/>
          <w:i/>
          <w:sz w:val="22"/>
          <w:u w:val="single"/>
        </w:rPr>
        <w:t>Ergänzung in Zuge der Qualitätsverbesserungsschleife</w:t>
      </w:r>
    </w:p>
    <w:p w14:paraId="1287D657" w14:textId="77777777" w:rsidR="00F26F20" w:rsidRDefault="00F26F20" w:rsidP="00F26F20">
      <w:pPr>
        <w:pStyle w:val="Bewertung"/>
        <w:rPr>
          <w:rFonts w:ascii="Arial" w:hAnsi="Arial" w:cs="Arial"/>
          <w:sz w:val="22"/>
        </w:rPr>
      </w:pPr>
      <w:r w:rsidRPr="00FE735A">
        <w:rPr>
          <w:rFonts w:ascii="Arial" w:hAnsi="Arial" w:cs="Arial"/>
          <w:sz w:val="22"/>
        </w:rPr>
        <w:t>[…]</w:t>
      </w:r>
    </w:p>
    <w:p w14:paraId="00368B58" w14:textId="77777777" w:rsidR="00F723CB" w:rsidRPr="00457100" w:rsidRDefault="00F723CB" w:rsidP="001C31ED">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21651566" w14:textId="28C96CF1" w:rsidR="00F723CB" w:rsidRPr="00FD370C" w:rsidRDefault="00F723CB" w:rsidP="00B67A70">
      <w:pPr>
        <w:spacing w:before="0"/>
        <w:rPr>
          <w:rFonts w:cs="Arial"/>
          <w:szCs w:val="22"/>
        </w:rPr>
      </w:pPr>
      <w:r w:rsidRPr="00FD370C">
        <w:rPr>
          <w:rFonts w:cs="Arial"/>
          <w:szCs w:val="22"/>
        </w:rPr>
        <w:t>Erfüllt</w:t>
      </w:r>
      <w:r w:rsidR="00B67A70">
        <w:rPr>
          <w:rFonts w:cs="Arial"/>
          <w:szCs w:val="22"/>
        </w:rPr>
        <w:t>.</w:t>
      </w:r>
    </w:p>
    <w:p w14:paraId="3DF2B429" w14:textId="77777777" w:rsidR="00520772" w:rsidRPr="00457100" w:rsidRDefault="00520772" w:rsidP="001C31ED">
      <w:pPr>
        <w:spacing w:before="0"/>
        <w:rPr>
          <w:rFonts w:cs="Arial"/>
          <w:szCs w:val="22"/>
          <w:lang w:eastAsia="en-US"/>
        </w:rPr>
      </w:pPr>
    </w:p>
    <w:p w14:paraId="22F65506" w14:textId="77777777" w:rsidR="0019387F" w:rsidRPr="0019387F" w:rsidRDefault="00520772" w:rsidP="00AA696A">
      <w:pPr>
        <w:pStyle w:val="berschrift3"/>
        <w:numPr>
          <w:ilvl w:val="0"/>
          <w:numId w:val="0"/>
        </w:numPr>
        <w:spacing w:before="0"/>
        <w:ind w:left="567" w:hanging="567"/>
      </w:pPr>
      <w:bookmarkStart w:id="59" w:name="_Geschlechtergerechtigkeit_und_Nacht"/>
      <w:bookmarkStart w:id="60" w:name="_Toc190351713"/>
      <w:bookmarkEnd w:id="59"/>
      <w:r w:rsidRPr="00457100">
        <w:t>Geschlechtergerechtigkeit und Nachteilsausgleich</w:t>
      </w:r>
      <w:bookmarkStart w:id="61" w:name="_Abschlussniveau"/>
      <w:bookmarkEnd w:id="61"/>
      <w:r w:rsidR="004551F5" w:rsidRPr="00457100">
        <w:t xml:space="preserve"> </w:t>
      </w:r>
      <w:r w:rsidR="004551F5" w:rsidRPr="0019387F">
        <w:t xml:space="preserve">(§ 15 </w:t>
      </w:r>
      <w:proofErr w:type="spellStart"/>
      <w:r w:rsidR="00BD500A">
        <w:t>StudAkkV</w:t>
      </w:r>
      <w:proofErr w:type="spellEnd"/>
      <w:r w:rsidR="004551F5" w:rsidRPr="0019387F">
        <w:t>)</w:t>
      </w:r>
      <w:bookmarkEnd w:id="60"/>
    </w:p>
    <w:p w14:paraId="5F288FA2" w14:textId="77777777" w:rsidR="00384515" w:rsidRDefault="00384515" w:rsidP="00384515">
      <w:pPr>
        <w:spacing w:before="0" w:after="120"/>
        <w:rPr>
          <w:rFonts w:cs="Arial"/>
          <w:b/>
          <w:color w:val="A71930"/>
          <w:szCs w:val="22"/>
        </w:rPr>
      </w:pPr>
      <w:r>
        <w:rPr>
          <w:rFonts w:cs="Arial"/>
          <w:b/>
          <w:color w:val="A71930"/>
          <w:szCs w:val="22"/>
        </w:rPr>
        <w:t>Sachstand</w:t>
      </w:r>
    </w:p>
    <w:p w14:paraId="321B2C7E" w14:textId="77777777" w:rsidR="00AA696A" w:rsidRPr="00CD2245" w:rsidRDefault="00AA696A" w:rsidP="00AA696A">
      <w:r w:rsidRPr="00CD2245">
        <w:t>In ihrem Hochschulentwicklungspakt bekennt sich die BTU ausdr</w:t>
      </w:r>
      <w:r>
        <w:t>ücklich zu einer aktiven Gestal</w:t>
      </w:r>
      <w:r w:rsidRPr="00CD2245">
        <w:t>tung von Chancengerechtigkeit. Ziele sind die tatsächliche Gleichstellung und Diskriminierungs-freiheit für alle Beschäftigten und Studierenden als Qualitätskriterium in Forschung, Lehre und Weiterbildung sowie die Erhöhung des Anteils von Frauen in Ber</w:t>
      </w:r>
      <w:r>
        <w:t>eichen, in denen sie unterreprä</w:t>
      </w:r>
      <w:r w:rsidRPr="00CD2245">
        <w:t>sentiert sind. Die Stabsstelle Chancengerechtigkeit und Gesundheitsförderung, bestehend aus dem Referat für Gesundheit, Diversität und AGG sowie dem Referat Familienorientierung und Dual Career, arbeitet eng mit den zentralen Gleichstellungsbeauftragten zusammen.</w:t>
      </w:r>
    </w:p>
    <w:p w14:paraId="5786B42A" w14:textId="77777777" w:rsidR="00384515" w:rsidRPr="007B58D9" w:rsidRDefault="00AA696A" w:rsidP="00AA696A">
      <w:r w:rsidRPr="00CD2245">
        <w:t>Studierende mit Behinderung oder chronischer Erkrankung ode</w:t>
      </w:r>
      <w:r>
        <w:t>r in besonderen Lebenslagen fin</w:t>
      </w:r>
      <w:r w:rsidRPr="00CD2245">
        <w:t xml:space="preserve">den direkte </w:t>
      </w:r>
      <w:proofErr w:type="spellStart"/>
      <w:proofErr w:type="gramStart"/>
      <w:r w:rsidRPr="00CD2245">
        <w:t>Ansprechpartner:innen</w:t>
      </w:r>
      <w:proofErr w:type="spellEnd"/>
      <w:proofErr w:type="gramEnd"/>
      <w:r w:rsidRPr="00CD2245">
        <w:t xml:space="preserve"> über das Zentrum für barrierefreies Studium der BTU. Diese Arbeit wird durch die Behindertenbeauftragten unterstützt. Nach</w:t>
      </w:r>
      <w:r>
        <w:t>teilsausgleiche sind in der Rah</w:t>
      </w:r>
      <w:r w:rsidRPr="00CD2245">
        <w:t>menordnung beschrieben.</w:t>
      </w:r>
    </w:p>
    <w:p w14:paraId="65BA99A7" w14:textId="77777777" w:rsidR="00384515" w:rsidRDefault="00384515" w:rsidP="00384515">
      <w:pPr>
        <w:spacing w:before="0" w:after="120" w:line="240" w:lineRule="auto"/>
        <w:rPr>
          <w:rFonts w:cs="Arial"/>
          <w:b/>
          <w:color w:val="A71930"/>
          <w:szCs w:val="22"/>
        </w:rPr>
      </w:pPr>
      <w:r w:rsidRPr="00457100">
        <w:rPr>
          <w:rFonts w:cs="Arial"/>
          <w:b/>
          <w:color w:val="A71930"/>
          <w:szCs w:val="22"/>
        </w:rPr>
        <w:t>Bewertung: Stärken und Entwicklungsbedarf</w:t>
      </w:r>
    </w:p>
    <w:p w14:paraId="42A5992C" w14:textId="77777777" w:rsidR="00384515" w:rsidRPr="007B58D9" w:rsidRDefault="00AA696A" w:rsidP="00AA696A">
      <w:pPr>
        <w:spacing w:before="0" w:after="120"/>
        <w:rPr>
          <w:rFonts w:cs="Arial"/>
          <w:szCs w:val="22"/>
        </w:rPr>
      </w:pPr>
      <w:r>
        <w:rPr>
          <w:rFonts w:cs="Arial"/>
          <w:szCs w:val="22"/>
        </w:rPr>
        <w:t>D</w:t>
      </w:r>
      <w:r w:rsidRPr="006675B9">
        <w:rPr>
          <w:rFonts w:cs="Arial"/>
          <w:szCs w:val="22"/>
        </w:rPr>
        <w:t>ie Gutachtergruppe stellt fest, dass alle erforderlichen Regelungen zu Gleichberechtigung und</w:t>
      </w:r>
      <w:r>
        <w:rPr>
          <w:rFonts w:cs="Arial"/>
          <w:szCs w:val="22"/>
        </w:rPr>
        <w:t xml:space="preserve"> </w:t>
      </w:r>
      <w:r w:rsidRPr="006675B9">
        <w:rPr>
          <w:rFonts w:cs="Arial"/>
          <w:szCs w:val="22"/>
        </w:rPr>
        <w:t>Nachteilsausgleich getroffen worden sind und begrüßt das Engag</w:t>
      </w:r>
      <w:r>
        <w:rPr>
          <w:rFonts w:cs="Arial"/>
          <w:szCs w:val="22"/>
        </w:rPr>
        <w:t xml:space="preserve">ement der Universität in diesen </w:t>
      </w:r>
      <w:r w:rsidRPr="006675B9">
        <w:rPr>
          <w:rFonts w:cs="Arial"/>
          <w:szCs w:val="22"/>
        </w:rPr>
        <w:t>Bereichen</w:t>
      </w:r>
      <w:r>
        <w:rPr>
          <w:rFonts w:cs="Arial"/>
          <w:szCs w:val="22"/>
        </w:rPr>
        <w:t>. Generell nehmen die Gutachter</w:t>
      </w:r>
      <w:r w:rsidRPr="006675B9">
        <w:rPr>
          <w:rFonts w:cs="Arial"/>
          <w:szCs w:val="22"/>
        </w:rPr>
        <w:t xml:space="preserve"> zur Kenntnis, </w:t>
      </w:r>
      <w:r>
        <w:rPr>
          <w:rFonts w:cs="Arial"/>
          <w:szCs w:val="22"/>
        </w:rPr>
        <w:t xml:space="preserve">dass an der Hochschule ein sehr </w:t>
      </w:r>
      <w:r w:rsidRPr="006675B9">
        <w:rPr>
          <w:rFonts w:cs="Arial"/>
          <w:szCs w:val="22"/>
        </w:rPr>
        <w:t xml:space="preserve">freundlicher und respektvoller Umgang untereinander herrscht </w:t>
      </w:r>
      <w:r>
        <w:rPr>
          <w:rFonts w:cs="Arial"/>
          <w:szCs w:val="22"/>
        </w:rPr>
        <w:t>und dass Menschen aus allen Ge</w:t>
      </w:r>
      <w:r w:rsidRPr="006675B9">
        <w:rPr>
          <w:rFonts w:cs="Arial"/>
          <w:szCs w:val="22"/>
        </w:rPr>
        <w:t>sellschaftsgruppen und Lebenslagen willkommen sind, um ge</w:t>
      </w:r>
      <w:r>
        <w:rPr>
          <w:rFonts w:cs="Arial"/>
          <w:szCs w:val="22"/>
        </w:rPr>
        <w:t>meinsam zu lernen. Nach Auffas</w:t>
      </w:r>
      <w:r w:rsidRPr="006675B9">
        <w:rPr>
          <w:rFonts w:cs="Arial"/>
          <w:szCs w:val="22"/>
        </w:rPr>
        <w:t xml:space="preserve">sung </w:t>
      </w:r>
      <w:r w:rsidRPr="006675B9">
        <w:rPr>
          <w:rFonts w:cs="Arial"/>
          <w:szCs w:val="22"/>
        </w:rPr>
        <w:lastRenderedPageBreak/>
        <w:t xml:space="preserve">der Gutachter haben die Themen Gleichberechtigung </w:t>
      </w:r>
      <w:r>
        <w:rPr>
          <w:rFonts w:cs="Arial"/>
          <w:szCs w:val="22"/>
        </w:rPr>
        <w:t xml:space="preserve">und </w:t>
      </w:r>
      <w:proofErr w:type="spellStart"/>
      <w:r>
        <w:rPr>
          <w:rFonts w:cs="Arial"/>
          <w:szCs w:val="22"/>
        </w:rPr>
        <w:t>Diversity</w:t>
      </w:r>
      <w:proofErr w:type="spellEnd"/>
      <w:r>
        <w:rPr>
          <w:rFonts w:cs="Arial"/>
          <w:szCs w:val="22"/>
        </w:rPr>
        <w:t xml:space="preserve"> einen hohen Stel</w:t>
      </w:r>
      <w:r w:rsidRPr="006675B9">
        <w:rPr>
          <w:rFonts w:cs="Arial"/>
          <w:szCs w:val="22"/>
        </w:rPr>
        <w:t>lenwert auf allen Ebenen und in den Kernaufgabenfeldern der Universität.</w:t>
      </w:r>
    </w:p>
    <w:p w14:paraId="65F21056" w14:textId="77777777" w:rsidR="00F26F20" w:rsidRPr="00FE735A" w:rsidRDefault="00F26F20" w:rsidP="00F26F20">
      <w:pPr>
        <w:pStyle w:val="Bewertung"/>
        <w:rPr>
          <w:rFonts w:ascii="Arial" w:hAnsi="Arial" w:cs="Arial"/>
          <w:i/>
          <w:sz w:val="22"/>
          <w:u w:val="single"/>
        </w:rPr>
      </w:pPr>
      <w:r w:rsidRPr="00FE735A">
        <w:rPr>
          <w:rFonts w:ascii="Arial" w:hAnsi="Arial" w:cs="Arial"/>
          <w:i/>
          <w:sz w:val="22"/>
          <w:u w:val="single"/>
        </w:rPr>
        <w:t>Ergänzung im Zuge der Stellungnahme der Hochschule</w:t>
      </w:r>
    </w:p>
    <w:p w14:paraId="1269ADE7" w14:textId="77777777" w:rsidR="00F26F20" w:rsidRDefault="00F26F20" w:rsidP="00F26F20">
      <w:pPr>
        <w:pStyle w:val="Bewertung"/>
        <w:rPr>
          <w:rFonts w:ascii="Arial" w:hAnsi="Arial" w:cs="Arial"/>
          <w:sz w:val="22"/>
        </w:rPr>
      </w:pPr>
      <w:r w:rsidRPr="00FE735A">
        <w:rPr>
          <w:rFonts w:ascii="Arial" w:hAnsi="Arial" w:cs="Arial"/>
          <w:sz w:val="22"/>
        </w:rPr>
        <w:t>[…]</w:t>
      </w:r>
    </w:p>
    <w:p w14:paraId="7B4137A7" w14:textId="77777777" w:rsidR="00F26F20" w:rsidRPr="00FE735A" w:rsidRDefault="00F26F20" w:rsidP="00F26F20">
      <w:pPr>
        <w:pStyle w:val="Bewertung"/>
        <w:rPr>
          <w:rFonts w:ascii="Arial" w:hAnsi="Arial" w:cs="Arial"/>
          <w:i/>
          <w:sz w:val="22"/>
          <w:u w:val="single"/>
        </w:rPr>
      </w:pPr>
      <w:r>
        <w:rPr>
          <w:rFonts w:ascii="Arial" w:hAnsi="Arial" w:cs="Arial"/>
          <w:i/>
          <w:sz w:val="22"/>
          <w:u w:val="single"/>
        </w:rPr>
        <w:t>Ergänzung in Zuge der Qualitätsverbesserungsschleife</w:t>
      </w:r>
    </w:p>
    <w:p w14:paraId="1000FF7A" w14:textId="77777777" w:rsidR="00F26F20" w:rsidRDefault="00F26F20" w:rsidP="00F26F20">
      <w:pPr>
        <w:pStyle w:val="Bewertung"/>
        <w:rPr>
          <w:rFonts w:ascii="Arial" w:hAnsi="Arial" w:cs="Arial"/>
          <w:sz w:val="22"/>
        </w:rPr>
      </w:pPr>
      <w:r w:rsidRPr="00FE735A">
        <w:rPr>
          <w:rFonts w:ascii="Arial" w:hAnsi="Arial" w:cs="Arial"/>
          <w:sz w:val="22"/>
        </w:rPr>
        <w:t>[…]</w:t>
      </w:r>
    </w:p>
    <w:p w14:paraId="11559DE6" w14:textId="77777777" w:rsidR="00F723CB" w:rsidRPr="00457100" w:rsidRDefault="00F723CB" w:rsidP="001C31ED">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1C974B56" w14:textId="77777777" w:rsidR="00F723CB" w:rsidRDefault="00F723CB" w:rsidP="00AA696A">
      <w:pPr>
        <w:spacing w:before="0"/>
        <w:rPr>
          <w:rFonts w:cs="Arial"/>
          <w:i/>
          <w:szCs w:val="22"/>
        </w:rPr>
      </w:pPr>
      <w:r w:rsidRPr="00FD370C">
        <w:rPr>
          <w:rFonts w:cs="Arial"/>
          <w:szCs w:val="22"/>
        </w:rPr>
        <w:t>Erfüllt</w:t>
      </w:r>
      <w:r w:rsidR="00AA696A">
        <w:rPr>
          <w:rFonts w:cs="Arial"/>
          <w:szCs w:val="22"/>
        </w:rPr>
        <w:t>.</w:t>
      </w:r>
    </w:p>
    <w:p w14:paraId="7331E05B" w14:textId="77777777" w:rsidR="00E470FC" w:rsidRPr="00E470FC" w:rsidRDefault="00E470FC" w:rsidP="001C31ED">
      <w:pPr>
        <w:spacing w:before="0"/>
        <w:rPr>
          <w:rFonts w:cs="Arial"/>
          <w:iCs/>
          <w:szCs w:val="22"/>
        </w:rPr>
      </w:pPr>
    </w:p>
    <w:p w14:paraId="5B78F326" w14:textId="77777777" w:rsidR="00D1447E" w:rsidRDefault="00520772" w:rsidP="00E470FC">
      <w:pPr>
        <w:pStyle w:val="berschrift3"/>
        <w:numPr>
          <w:ilvl w:val="0"/>
          <w:numId w:val="0"/>
        </w:numPr>
        <w:spacing w:before="0"/>
        <w:ind w:left="567" w:hanging="567"/>
      </w:pPr>
      <w:bookmarkStart w:id="62" w:name="_Sonderregelungen_für_Joint-Degree-P_1"/>
      <w:bookmarkStart w:id="63" w:name="_Toc190351714"/>
      <w:bookmarkEnd w:id="62"/>
      <w:r w:rsidRPr="00A67ABF">
        <w:t>Sonderregelungen für Joint-</w:t>
      </w:r>
      <w:proofErr w:type="spellStart"/>
      <w:r w:rsidRPr="00A67ABF">
        <w:t>Degree</w:t>
      </w:r>
      <w:proofErr w:type="spellEnd"/>
      <w:r w:rsidRPr="00A67ABF">
        <w:t>-Programme</w:t>
      </w:r>
      <w:r w:rsidR="004551F5" w:rsidRPr="00A67ABF">
        <w:t xml:space="preserve"> </w:t>
      </w:r>
      <w:r w:rsidR="004551F5" w:rsidRPr="00BA2C45">
        <w:rPr>
          <w:rFonts w:cs="Times New Roman"/>
        </w:rPr>
        <w:t xml:space="preserve">(§ 16 </w:t>
      </w:r>
      <w:proofErr w:type="spellStart"/>
      <w:r w:rsidR="00BD500A">
        <w:rPr>
          <w:rFonts w:cs="Times New Roman"/>
        </w:rPr>
        <w:t>StudAkkV</w:t>
      </w:r>
      <w:proofErr w:type="spellEnd"/>
      <w:r w:rsidR="004551F5" w:rsidRPr="00BA2C45">
        <w:rPr>
          <w:rFonts w:cs="Times New Roman"/>
        </w:rPr>
        <w:t>)</w:t>
      </w:r>
      <w:bookmarkEnd w:id="63"/>
    </w:p>
    <w:p w14:paraId="4A14EED1" w14:textId="77777777" w:rsidR="00F723CB" w:rsidRDefault="00BD500A" w:rsidP="00BD500A">
      <w:pPr>
        <w:spacing w:before="0"/>
        <w:rPr>
          <w:rFonts w:cs="Arial"/>
          <w:i/>
          <w:szCs w:val="22"/>
        </w:rPr>
      </w:pPr>
      <w:r w:rsidRPr="00BD500A">
        <w:rPr>
          <w:i/>
          <w:lang w:eastAsia="en-US"/>
        </w:rPr>
        <w:t>Nicht einschlägig.</w:t>
      </w:r>
    </w:p>
    <w:p w14:paraId="201AA4FD" w14:textId="77777777" w:rsidR="00BD500A" w:rsidRPr="00BD500A" w:rsidRDefault="00BD500A" w:rsidP="00BD500A">
      <w:pPr>
        <w:spacing w:before="0"/>
        <w:rPr>
          <w:rFonts w:cs="Arial"/>
          <w:i/>
          <w:szCs w:val="22"/>
        </w:rPr>
      </w:pPr>
    </w:p>
    <w:p w14:paraId="39384851" w14:textId="77777777" w:rsidR="00447FB8" w:rsidRDefault="004551F5" w:rsidP="00300757">
      <w:pPr>
        <w:pStyle w:val="berschrift3"/>
        <w:numPr>
          <w:ilvl w:val="0"/>
          <w:numId w:val="0"/>
        </w:numPr>
        <w:spacing w:before="0"/>
        <w:ind w:left="567" w:hanging="567"/>
      </w:pPr>
      <w:bookmarkStart w:id="64" w:name="_Kooperationen_mit_nichthochschulisc"/>
      <w:bookmarkStart w:id="65" w:name="_Toc190351715"/>
      <w:bookmarkEnd w:id="64"/>
      <w:r w:rsidRPr="00A67ABF">
        <w:t xml:space="preserve">Kooperationen mit nichthochschulischen Einrichtungen </w:t>
      </w:r>
      <w:r w:rsidRPr="00BA2C45">
        <w:rPr>
          <w:rFonts w:cs="Times New Roman"/>
        </w:rPr>
        <w:t xml:space="preserve">(§ 19 </w:t>
      </w:r>
      <w:proofErr w:type="spellStart"/>
      <w:r w:rsidR="00BD500A">
        <w:rPr>
          <w:rFonts w:cs="Times New Roman"/>
        </w:rPr>
        <w:t>StudAkkV</w:t>
      </w:r>
      <w:proofErr w:type="spellEnd"/>
      <w:r w:rsidRPr="00BA2C45">
        <w:rPr>
          <w:rFonts w:cs="Times New Roman"/>
        </w:rPr>
        <w:t>)</w:t>
      </w:r>
      <w:bookmarkEnd w:id="65"/>
    </w:p>
    <w:p w14:paraId="3F3B0D10" w14:textId="77777777" w:rsidR="00BD500A" w:rsidRPr="00BD500A" w:rsidRDefault="00BD500A" w:rsidP="00BD500A">
      <w:pPr>
        <w:spacing w:before="0"/>
        <w:rPr>
          <w:rFonts w:cs="Arial"/>
          <w:i/>
          <w:szCs w:val="22"/>
        </w:rPr>
      </w:pPr>
      <w:r w:rsidRPr="00BD500A">
        <w:rPr>
          <w:i/>
          <w:lang w:eastAsia="en-US"/>
        </w:rPr>
        <w:t>Nicht einschlägig.</w:t>
      </w:r>
    </w:p>
    <w:p w14:paraId="5770FD25" w14:textId="77777777" w:rsidR="004551F5" w:rsidRPr="00457100" w:rsidRDefault="004551F5" w:rsidP="001C31ED">
      <w:pPr>
        <w:spacing w:before="0"/>
        <w:rPr>
          <w:rFonts w:cs="Arial"/>
          <w:szCs w:val="22"/>
          <w:lang w:eastAsia="en-US"/>
        </w:rPr>
      </w:pPr>
    </w:p>
    <w:p w14:paraId="24AC6895" w14:textId="77777777" w:rsidR="00BA1B4F" w:rsidRDefault="006216B9" w:rsidP="00AB7A4E">
      <w:pPr>
        <w:pStyle w:val="berschrift3"/>
        <w:numPr>
          <w:ilvl w:val="0"/>
          <w:numId w:val="0"/>
        </w:numPr>
        <w:spacing w:before="0"/>
        <w:ind w:left="567" w:hanging="567"/>
      </w:pPr>
      <w:bookmarkStart w:id="66" w:name="_Hochschulische_Kooperationen_(§"/>
      <w:bookmarkStart w:id="67" w:name="_Toc190351716"/>
      <w:bookmarkEnd w:id="66"/>
      <w:r w:rsidRPr="00A67ABF">
        <w:t xml:space="preserve">Hochschulische Kooperationen </w:t>
      </w:r>
      <w:r w:rsidRPr="00BA2C45">
        <w:rPr>
          <w:rFonts w:cs="Times New Roman"/>
        </w:rPr>
        <w:t xml:space="preserve">(§ 20 </w:t>
      </w:r>
      <w:proofErr w:type="spellStart"/>
      <w:r w:rsidR="00BD500A">
        <w:rPr>
          <w:rFonts w:cs="Times New Roman"/>
        </w:rPr>
        <w:t>StudAkkV</w:t>
      </w:r>
      <w:proofErr w:type="spellEnd"/>
      <w:r w:rsidRPr="00BA2C45">
        <w:rPr>
          <w:rFonts w:cs="Times New Roman"/>
        </w:rPr>
        <w:t>)</w:t>
      </w:r>
      <w:bookmarkEnd w:id="67"/>
    </w:p>
    <w:p w14:paraId="0534E470" w14:textId="77777777" w:rsidR="00F723CB" w:rsidRPr="00BD500A" w:rsidRDefault="00BD500A" w:rsidP="001C31ED">
      <w:pPr>
        <w:spacing w:before="0"/>
        <w:rPr>
          <w:rFonts w:cs="Arial"/>
          <w:i/>
          <w:szCs w:val="22"/>
        </w:rPr>
      </w:pPr>
      <w:r w:rsidRPr="00BD500A">
        <w:rPr>
          <w:i/>
          <w:lang w:eastAsia="en-US"/>
        </w:rPr>
        <w:t>Nicht einschlägig.</w:t>
      </w:r>
    </w:p>
    <w:p w14:paraId="592C5B07" w14:textId="77777777" w:rsidR="004551F5" w:rsidRPr="00457100" w:rsidRDefault="004551F5" w:rsidP="001C31ED">
      <w:pPr>
        <w:spacing w:before="0"/>
        <w:rPr>
          <w:rFonts w:cs="Arial"/>
          <w:szCs w:val="22"/>
          <w:lang w:eastAsia="en-US"/>
        </w:rPr>
      </w:pPr>
    </w:p>
    <w:p w14:paraId="15ACFA2E" w14:textId="77777777" w:rsidR="006216B9" w:rsidRDefault="006216B9" w:rsidP="001C31ED">
      <w:pPr>
        <w:pStyle w:val="berschrift3"/>
        <w:numPr>
          <w:ilvl w:val="0"/>
          <w:numId w:val="0"/>
        </w:numPr>
        <w:tabs>
          <w:tab w:val="clear" w:pos="567"/>
          <w:tab w:val="left" w:pos="0"/>
        </w:tabs>
        <w:spacing w:before="0"/>
      </w:pPr>
      <w:bookmarkStart w:id="68" w:name="_Besondere_Kriterien_für_1"/>
      <w:bookmarkStart w:id="69" w:name="_Toc190351717"/>
      <w:bookmarkEnd w:id="68"/>
      <w:r w:rsidRPr="00457100">
        <w:t xml:space="preserve">Besondere Kriterien für Bachelorausbildungsgänge an Berufsakademien </w:t>
      </w:r>
      <w:r w:rsidRPr="00BA2C45">
        <w:t xml:space="preserve">(§ 21 </w:t>
      </w:r>
      <w:proofErr w:type="spellStart"/>
      <w:r w:rsidR="00BD500A">
        <w:t>StudAkkV</w:t>
      </w:r>
      <w:proofErr w:type="spellEnd"/>
      <w:r w:rsidRPr="00BA2C45">
        <w:t>)</w:t>
      </w:r>
      <w:bookmarkEnd w:id="69"/>
    </w:p>
    <w:p w14:paraId="28067A00" w14:textId="77777777" w:rsidR="008A1DCD" w:rsidRPr="00BD500A" w:rsidRDefault="00BD500A">
      <w:pPr>
        <w:spacing w:before="0" w:line="240" w:lineRule="auto"/>
        <w:jc w:val="left"/>
        <w:rPr>
          <w:rFonts w:cs="Arial"/>
          <w:b/>
          <w:bCs/>
          <w:i/>
          <w:szCs w:val="22"/>
          <w:lang w:eastAsia="en-US"/>
        </w:rPr>
      </w:pPr>
      <w:r w:rsidRPr="00BD500A">
        <w:rPr>
          <w:i/>
          <w:lang w:eastAsia="en-US"/>
        </w:rPr>
        <w:t>Nicht einschlägig.</w:t>
      </w:r>
      <w:r w:rsidR="008A1DCD" w:rsidRPr="00BD500A">
        <w:rPr>
          <w:rFonts w:cs="Arial"/>
          <w:b/>
          <w:bCs/>
          <w:i/>
          <w:szCs w:val="22"/>
          <w:lang w:eastAsia="en-US"/>
        </w:rPr>
        <w:br w:type="page"/>
      </w:r>
    </w:p>
    <w:p w14:paraId="1B8309D3" w14:textId="77777777" w:rsidR="001300E0" w:rsidRPr="00457100" w:rsidRDefault="001300E0" w:rsidP="000C6632">
      <w:pPr>
        <w:pStyle w:val="berschrift1"/>
        <w:rPr>
          <w:rFonts w:cs="Arial"/>
          <w:szCs w:val="22"/>
        </w:rPr>
      </w:pPr>
      <w:bookmarkStart w:id="70" w:name="_Toc190351718"/>
      <w:r w:rsidRPr="00457100">
        <w:rPr>
          <w:rFonts w:cs="Arial"/>
          <w:szCs w:val="22"/>
        </w:rPr>
        <w:lastRenderedPageBreak/>
        <w:t>Begutachtungsverfahren</w:t>
      </w:r>
      <w:bookmarkEnd w:id="70"/>
    </w:p>
    <w:p w14:paraId="0D1CA37F" w14:textId="77777777" w:rsidR="004C17A0" w:rsidRPr="00B44433" w:rsidRDefault="00780E73" w:rsidP="001300E0">
      <w:pPr>
        <w:pStyle w:val="berschrift2"/>
      </w:pPr>
      <w:bookmarkStart w:id="71" w:name="_Toc190351719"/>
      <w:r w:rsidRPr="00457100">
        <w:t>Allgemeine Hinweise</w:t>
      </w:r>
      <w:bookmarkEnd w:id="71"/>
    </w:p>
    <w:p w14:paraId="1EB8E953" w14:textId="77777777" w:rsidR="00E63E9B" w:rsidRDefault="00E63E9B" w:rsidP="00E63E9B">
      <w:pPr>
        <w:rPr>
          <w:lang w:eastAsia="en-US"/>
        </w:rPr>
      </w:pPr>
      <w:r w:rsidRPr="00C81C46">
        <w:rPr>
          <w:lang w:eastAsia="en-US"/>
        </w:rPr>
        <w:t>Unter Berücks</w:t>
      </w:r>
      <w:r>
        <w:rPr>
          <w:lang w:eastAsia="en-US"/>
        </w:rPr>
        <w:t>ichtigung der Vor-Ort-Begehung u</w:t>
      </w:r>
      <w:r w:rsidRPr="00C81C46">
        <w:rPr>
          <w:lang w:eastAsia="en-US"/>
        </w:rPr>
        <w:t>nd d</w:t>
      </w:r>
      <w:r>
        <w:rPr>
          <w:lang w:eastAsia="en-US"/>
        </w:rPr>
        <w:t>er Stellungnahme der Hochschule</w:t>
      </w:r>
      <w:r w:rsidRPr="00C81C46">
        <w:rPr>
          <w:lang w:eastAsia="en-US"/>
        </w:rPr>
        <w:t xml:space="preserve"> </w:t>
      </w:r>
      <w:r>
        <w:rPr>
          <w:lang w:eastAsia="en-US"/>
        </w:rPr>
        <w:t>geben</w:t>
      </w:r>
      <w:r w:rsidRPr="00C81C46">
        <w:rPr>
          <w:lang w:eastAsia="en-US"/>
        </w:rPr>
        <w:t xml:space="preserve"> die Gutachter </w:t>
      </w:r>
      <w:r>
        <w:rPr>
          <w:lang w:eastAsia="en-US"/>
        </w:rPr>
        <w:t>folgende Beschlussempfehlung an den Akkreditierungsrat</w:t>
      </w:r>
      <w:r w:rsidRPr="00C81C46">
        <w:rPr>
          <w:lang w:eastAsia="en-US"/>
        </w:rPr>
        <w:t>:</w:t>
      </w:r>
    </w:p>
    <w:p w14:paraId="36DBD2BF" w14:textId="77777777" w:rsidR="00E63E9B" w:rsidRDefault="00E63E9B" w:rsidP="00E63E9B">
      <w:pPr>
        <w:rPr>
          <w:lang w:eastAsia="en-US"/>
        </w:rPr>
      </w:pPr>
      <w:r>
        <w:rPr>
          <w:lang w:eastAsia="en-US"/>
        </w:rPr>
        <w:t>Die Gutachter empfehlen eine Akkreditierung mit Auflagen.</w:t>
      </w:r>
    </w:p>
    <w:p w14:paraId="2A30A8B4" w14:textId="77777777" w:rsidR="00E63E9B" w:rsidRPr="00C81C46" w:rsidRDefault="00E63E9B" w:rsidP="00E63E9B">
      <w:pPr>
        <w:rPr>
          <w:b/>
          <w:lang w:eastAsia="en-US"/>
        </w:rPr>
      </w:pPr>
      <w:r w:rsidRPr="00C81C46">
        <w:rPr>
          <w:b/>
          <w:lang w:eastAsia="en-US"/>
        </w:rPr>
        <w:t>Auflagen</w:t>
      </w:r>
    </w:p>
    <w:p w14:paraId="28DA0D24" w14:textId="75016380" w:rsidR="00BA4FDF" w:rsidRPr="00BA4FDF" w:rsidRDefault="00BA4FDF" w:rsidP="00BA4FDF">
      <w:pPr>
        <w:pStyle w:val="ListeAuflagen"/>
        <w:rPr>
          <w:rFonts w:ascii="Arial" w:hAnsi="Arial" w:cs="Arial"/>
          <w:sz w:val="22"/>
        </w:rPr>
      </w:pPr>
      <w:r w:rsidRPr="00BA4FDF">
        <w:rPr>
          <w:rFonts w:ascii="Arial" w:hAnsi="Arial" w:cs="Arial"/>
          <w:sz w:val="22"/>
        </w:rPr>
        <w:t xml:space="preserve"> (§ 12 Abs. 1 </w:t>
      </w:r>
      <w:proofErr w:type="spellStart"/>
      <w:r w:rsidRPr="00BA4FDF">
        <w:rPr>
          <w:rFonts w:ascii="Arial" w:hAnsi="Arial" w:cs="Arial"/>
          <w:sz w:val="22"/>
        </w:rPr>
        <w:t>Sätze</w:t>
      </w:r>
      <w:proofErr w:type="spellEnd"/>
      <w:r w:rsidRPr="00BA4FDF">
        <w:rPr>
          <w:rFonts w:ascii="Arial" w:hAnsi="Arial" w:cs="Arial"/>
          <w:sz w:val="22"/>
        </w:rPr>
        <w:t xml:space="preserve"> 1 </w:t>
      </w:r>
      <w:proofErr w:type="spellStart"/>
      <w:r w:rsidRPr="00BA4FDF">
        <w:rPr>
          <w:rFonts w:ascii="Arial" w:hAnsi="Arial" w:cs="Arial"/>
          <w:sz w:val="22"/>
        </w:rPr>
        <w:t>bis</w:t>
      </w:r>
      <w:proofErr w:type="spellEnd"/>
      <w:r w:rsidRPr="00BA4FDF">
        <w:rPr>
          <w:rFonts w:ascii="Arial" w:hAnsi="Arial" w:cs="Arial"/>
          <w:sz w:val="22"/>
        </w:rPr>
        <w:t xml:space="preserve"> 3 und 5 </w:t>
      </w:r>
      <w:proofErr w:type="spellStart"/>
      <w:r w:rsidRPr="00BA4FDF">
        <w:rPr>
          <w:rFonts w:ascii="Arial" w:hAnsi="Arial" w:cs="Arial"/>
          <w:sz w:val="22"/>
        </w:rPr>
        <w:t>StudAkkV</w:t>
      </w:r>
      <w:proofErr w:type="spellEnd"/>
      <w:r w:rsidRPr="00BA4FDF">
        <w:rPr>
          <w:rFonts w:ascii="Arial" w:hAnsi="Arial" w:cs="Arial"/>
          <w:sz w:val="22"/>
        </w:rPr>
        <w:t xml:space="preserve">) </w:t>
      </w:r>
      <w:proofErr w:type="spellStart"/>
      <w:r w:rsidRPr="00BA4FDF">
        <w:rPr>
          <w:rFonts w:ascii="Arial" w:hAnsi="Arial" w:cs="Arial"/>
          <w:sz w:val="22"/>
        </w:rPr>
        <w:t>Es</w:t>
      </w:r>
      <w:proofErr w:type="spellEnd"/>
      <w:r w:rsidRPr="00BA4FDF">
        <w:rPr>
          <w:rFonts w:ascii="Arial" w:hAnsi="Arial" w:cs="Arial"/>
          <w:sz w:val="22"/>
        </w:rPr>
        <w:t xml:space="preserve"> muss </w:t>
      </w:r>
      <w:proofErr w:type="spellStart"/>
      <w:r w:rsidRPr="00BA4FDF">
        <w:rPr>
          <w:rFonts w:ascii="Arial" w:hAnsi="Arial" w:cs="Arial"/>
          <w:sz w:val="22"/>
        </w:rPr>
        <w:t>sichergestellt</w:t>
      </w:r>
      <w:proofErr w:type="spellEnd"/>
      <w:r w:rsidRPr="00BA4FDF">
        <w:rPr>
          <w:rFonts w:ascii="Arial" w:hAnsi="Arial" w:cs="Arial"/>
          <w:sz w:val="22"/>
        </w:rPr>
        <w:t xml:space="preserve"> </w:t>
      </w:r>
      <w:proofErr w:type="spellStart"/>
      <w:r w:rsidRPr="00BA4FDF">
        <w:rPr>
          <w:rFonts w:ascii="Arial" w:hAnsi="Arial" w:cs="Arial"/>
          <w:sz w:val="22"/>
        </w:rPr>
        <w:t>werden</w:t>
      </w:r>
      <w:proofErr w:type="spellEnd"/>
      <w:r w:rsidRPr="00BA4FDF">
        <w:rPr>
          <w:rFonts w:ascii="Arial" w:hAnsi="Arial" w:cs="Arial"/>
          <w:sz w:val="22"/>
        </w:rPr>
        <w:t xml:space="preserve">, </w:t>
      </w:r>
      <w:proofErr w:type="spellStart"/>
      <w:r w:rsidRPr="00BA4FDF">
        <w:rPr>
          <w:rFonts w:ascii="Arial" w:hAnsi="Arial" w:cs="Arial"/>
          <w:sz w:val="22"/>
        </w:rPr>
        <w:t>dass</w:t>
      </w:r>
      <w:proofErr w:type="spellEnd"/>
      <w:r w:rsidRPr="00BA4FDF">
        <w:rPr>
          <w:rFonts w:ascii="Arial" w:hAnsi="Arial" w:cs="Arial"/>
          <w:sz w:val="22"/>
        </w:rPr>
        <w:t xml:space="preserve"> die </w:t>
      </w:r>
      <w:proofErr w:type="spellStart"/>
      <w:r w:rsidRPr="00BA4FDF">
        <w:rPr>
          <w:rFonts w:ascii="Arial" w:hAnsi="Arial" w:cs="Arial"/>
          <w:sz w:val="22"/>
        </w:rPr>
        <w:t>Auflagenmodule</w:t>
      </w:r>
      <w:proofErr w:type="spellEnd"/>
      <w:r w:rsidRPr="00BA4FDF">
        <w:rPr>
          <w:rFonts w:ascii="Arial" w:hAnsi="Arial" w:cs="Arial"/>
          <w:sz w:val="22"/>
        </w:rPr>
        <w:t xml:space="preserve"> in </w:t>
      </w:r>
      <w:proofErr w:type="spellStart"/>
      <w:r w:rsidRPr="00BA4FDF">
        <w:rPr>
          <w:rFonts w:ascii="Arial" w:hAnsi="Arial" w:cs="Arial"/>
          <w:sz w:val="22"/>
        </w:rPr>
        <w:t>englischer</w:t>
      </w:r>
      <w:proofErr w:type="spellEnd"/>
      <w:r w:rsidRPr="00BA4FDF">
        <w:rPr>
          <w:rFonts w:ascii="Arial" w:hAnsi="Arial" w:cs="Arial"/>
          <w:sz w:val="22"/>
        </w:rPr>
        <w:t xml:space="preserve"> </w:t>
      </w:r>
      <w:proofErr w:type="spellStart"/>
      <w:r w:rsidRPr="00BA4FDF">
        <w:rPr>
          <w:rFonts w:ascii="Arial" w:hAnsi="Arial" w:cs="Arial"/>
          <w:sz w:val="22"/>
        </w:rPr>
        <w:t>Sprache</w:t>
      </w:r>
      <w:proofErr w:type="spellEnd"/>
      <w:r w:rsidRPr="00BA4FDF">
        <w:rPr>
          <w:rFonts w:ascii="Arial" w:hAnsi="Arial" w:cs="Arial"/>
          <w:sz w:val="22"/>
        </w:rPr>
        <w:t xml:space="preserve"> </w:t>
      </w:r>
      <w:proofErr w:type="spellStart"/>
      <w:r w:rsidRPr="00BA4FDF">
        <w:rPr>
          <w:rFonts w:ascii="Arial" w:hAnsi="Arial" w:cs="Arial"/>
          <w:sz w:val="22"/>
        </w:rPr>
        <w:t>durchgeführt</w:t>
      </w:r>
      <w:proofErr w:type="spellEnd"/>
      <w:r w:rsidRPr="00BA4FDF">
        <w:rPr>
          <w:rFonts w:ascii="Arial" w:hAnsi="Arial" w:cs="Arial"/>
          <w:sz w:val="22"/>
        </w:rPr>
        <w:t xml:space="preserve"> </w:t>
      </w:r>
      <w:proofErr w:type="spellStart"/>
      <w:r w:rsidRPr="00BA4FDF">
        <w:rPr>
          <w:rFonts w:ascii="Arial" w:hAnsi="Arial" w:cs="Arial"/>
          <w:sz w:val="22"/>
        </w:rPr>
        <w:t>werden</w:t>
      </w:r>
      <w:proofErr w:type="spellEnd"/>
      <w:r w:rsidRPr="00BA4FDF">
        <w:rPr>
          <w:rFonts w:ascii="Arial" w:hAnsi="Arial" w:cs="Arial"/>
          <w:sz w:val="22"/>
        </w:rPr>
        <w:t>.</w:t>
      </w:r>
    </w:p>
    <w:p w14:paraId="5036E4BC" w14:textId="477DA5B2" w:rsidR="00BA4FDF" w:rsidRPr="00BA4FDF" w:rsidRDefault="00BA4FDF" w:rsidP="00BA4FDF">
      <w:pPr>
        <w:pStyle w:val="ListeAuflagen"/>
        <w:rPr>
          <w:rFonts w:ascii="Arial" w:hAnsi="Arial" w:cs="Arial"/>
          <w:sz w:val="22"/>
          <w:lang w:val="de-DE"/>
        </w:rPr>
      </w:pPr>
      <w:r w:rsidRPr="00BA4FDF">
        <w:rPr>
          <w:rFonts w:ascii="Arial" w:hAnsi="Arial" w:cs="Arial"/>
          <w:sz w:val="22"/>
          <w:lang w:val="de-DE"/>
        </w:rPr>
        <w:t xml:space="preserve">(§ 12 Abs. 5 </w:t>
      </w:r>
      <w:proofErr w:type="spellStart"/>
      <w:r w:rsidRPr="00BA4FDF">
        <w:rPr>
          <w:rFonts w:ascii="Arial" w:hAnsi="Arial" w:cs="Arial"/>
          <w:sz w:val="22"/>
          <w:lang w:val="de-DE"/>
        </w:rPr>
        <w:t>StudAkkV</w:t>
      </w:r>
      <w:proofErr w:type="spellEnd"/>
      <w:r w:rsidRPr="00BA4FDF">
        <w:rPr>
          <w:rFonts w:ascii="Arial" w:hAnsi="Arial" w:cs="Arial"/>
          <w:sz w:val="22"/>
          <w:lang w:val="de-DE"/>
        </w:rPr>
        <w:t xml:space="preserve">) Die Hochschule muss den Studierenden ermöglichen, ihr Studium mit 120 ECTS Punkten abzuschließen. </w:t>
      </w:r>
    </w:p>
    <w:p w14:paraId="5BA5823B" w14:textId="6450476B" w:rsidR="00E63E9B" w:rsidRPr="00C81C46" w:rsidRDefault="00E63E9B" w:rsidP="00E63E9B">
      <w:pPr>
        <w:rPr>
          <w:b/>
          <w:lang w:eastAsia="en-US"/>
        </w:rPr>
      </w:pPr>
    </w:p>
    <w:p w14:paraId="13DA147C" w14:textId="15B4E98A" w:rsidR="00E63E9B" w:rsidRDefault="00BA4FDF" w:rsidP="00E63E9B">
      <w:pPr>
        <w:rPr>
          <w:b/>
          <w:lang w:eastAsia="en-US"/>
        </w:rPr>
      </w:pPr>
      <w:r>
        <w:rPr>
          <w:b/>
          <w:lang w:eastAsia="en-US"/>
        </w:rPr>
        <w:t>Empfehlungen</w:t>
      </w:r>
    </w:p>
    <w:p w14:paraId="2266B860" w14:textId="0DAAA901" w:rsidR="00BA4FDF" w:rsidRPr="00BA4FDF" w:rsidRDefault="00BA4FDF" w:rsidP="00BA4FDF">
      <w:pPr>
        <w:pStyle w:val="ListeEmpfehlungen"/>
        <w:rPr>
          <w:rFonts w:ascii="Arial" w:hAnsi="Arial" w:cs="Arial"/>
          <w:sz w:val="22"/>
        </w:rPr>
      </w:pPr>
      <w:r w:rsidRPr="00BA4FDF">
        <w:rPr>
          <w:rFonts w:ascii="Arial" w:hAnsi="Arial" w:cs="Arial"/>
          <w:sz w:val="22"/>
        </w:rPr>
        <w:t xml:space="preserve"> </w:t>
      </w:r>
      <w:r w:rsidRPr="00BA4FDF">
        <w:rPr>
          <w:rFonts w:ascii="Arial" w:hAnsi="Arial" w:cs="Arial"/>
          <w:sz w:val="22"/>
        </w:rPr>
        <w:t xml:space="preserve">(§ 12 Abs. 2 </w:t>
      </w:r>
      <w:proofErr w:type="spellStart"/>
      <w:r w:rsidRPr="00BA4FDF">
        <w:rPr>
          <w:rFonts w:ascii="Arial" w:hAnsi="Arial" w:cs="Arial"/>
          <w:sz w:val="22"/>
        </w:rPr>
        <w:t>StudAkkV</w:t>
      </w:r>
      <w:proofErr w:type="spellEnd"/>
      <w:r w:rsidRPr="00BA4FDF">
        <w:rPr>
          <w:rFonts w:ascii="Arial" w:hAnsi="Arial" w:cs="Arial"/>
          <w:sz w:val="22"/>
        </w:rPr>
        <w:t xml:space="preserve">) Es wird empfohlen, Lehrpersonal in den Bereichen Digitaltechnik und digitale Schaltungen einzustellen und Inhalte aus diesen Bereichen in das Curriculum zu integrieren. </w:t>
      </w:r>
    </w:p>
    <w:p w14:paraId="59BC1251" w14:textId="77777777" w:rsidR="00BA4FDF" w:rsidRPr="00BA4FDF" w:rsidRDefault="00BA4FDF" w:rsidP="00BA4FDF">
      <w:pPr>
        <w:pStyle w:val="ListeEmpfehlungen"/>
        <w:rPr>
          <w:rFonts w:ascii="Arial" w:hAnsi="Arial" w:cs="Arial"/>
          <w:sz w:val="22"/>
        </w:rPr>
      </w:pPr>
      <w:r w:rsidRPr="00BA4FDF">
        <w:rPr>
          <w:rFonts w:ascii="Arial" w:hAnsi="Arial" w:cs="Arial"/>
          <w:sz w:val="22"/>
        </w:rPr>
        <w:t xml:space="preserve">(§ 12 Abs. 4 </w:t>
      </w:r>
      <w:proofErr w:type="spellStart"/>
      <w:r w:rsidRPr="00BA4FDF">
        <w:rPr>
          <w:rFonts w:ascii="Arial" w:hAnsi="Arial" w:cs="Arial"/>
          <w:sz w:val="22"/>
        </w:rPr>
        <w:t>StudAkkV</w:t>
      </w:r>
      <w:proofErr w:type="spellEnd"/>
      <w:r w:rsidRPr="00BA4FDF">
        <w:rPr>
          <w:rFonts w:ascii="Arial" w:hAnsi="Arial" w:cs="Arial"/>
          <w:sz w:val="22"/>
        </w:rPr>
        <w:t xml:space="preserve">) Es wird empfohlen, die Prüfungsform </w:t>
      </w:r>
      <w:proofErr w:type="spellStart"/>
      <w:r w:rsidRPr="00BA4FDF">
        <w:rPr>
          <w:rFonts w:ascii="Arial" w:hAnsi="Arial" w:cs="Arial"/>
          <w:sz w:val="22"/>
        </w:rPr>
        <w:t>Continuous</w:t>
      </w:r>
      <w:proofErr w:type="spellEnd"/>
      <w:r w:rsidRPr="00BA4FDF">
        <w:rPr>
          <w:rFonts w:ascii="Arial" w:hAnsi="Arial" w:cs="Arial"/>
          <w:sz w:val="22"/>
        </w:rPr>
        <w:t xml:space="preserve"> Assessment verstärkt in den praktischen Lehrveranstaltungen einzusetzen. </w:t>
      </w:r>
    </w:p>
    <w:p w14:paraId="1F17864B" w14:textId="77777777" w:rsidR="00BA4FDF" w:rsidRPr="00BA4FDF" w:rsidRDefault="00BA4FDF" w:rsidP="00BA4FDF">
      <w:pPr>
        <w:pStyle w:val="ListeEmpfehlungen"/>
        <w:rPr>
          <w:rFonts w:ascii="Arial" w:hAnsi="Arial" w:cs="Arial"/>
          <w:sz w:val="22"/>
        </w:rPr>
      </w:pPr>
      <w:r w:rsidRPr="00BA4FDF">
        <w:rPr>
          <w:rFonts w:ascii="Arial" w:hAnsi="Arial" w:cs="Arial"/>
          <w:sz w:val="22"/>
        </w:rPr>
        <w:t xml:space="preserve"> (§ 12 Abs. 5 </w:t>
      </w:r>
      <w:proofErr w:type="spellStart"/>
      <w:r w:rsidRPr="00BA4FDF">
        <w:rPr>
          <w:rFonts w:ascii="Arial" w:hAnsi="Arial" w:cs="Arial"/>
          <w:sz w:val="22"/>
        </w:rPr>
        <w:t>StudAkkV</w:t>
      </w:r>
      <w:proofErr w:type="spellEnd"/>
      <w:r w:rsidRPr="00BA4FDF">
        <w:rPr>
          <w:rFonts w:ascii="Arial" w:hAnsi="Arial" w:cs="Arial"/>
          <w:sz w:val="22"/>
        </w:rPr>
        <w:t xml:space="preserve">) Es wird empfohlen, zukünftig zu prüfen, ob die Durchführung von Auflagenmodulen im Umfang von bis zu 18 ECTS Punkten zu einer Überschreitung der Regelstudienzeit führt.  </w:t>
      </w:r>
    </w:p>
    <w:p w14:paraId="30508C99" w14:textId="77777777" w:rsidR="00E63E9B" w:rsidRDefault="00E63E9B" w:rsidP="00E63E9B">
      <w:pPr>
        <w:rPr>
          <w:rFonts w:cs="Arial"/>
          <w:szCs w:val="22"/>
          <w:lang w:eastAsia="en-US"/>
        </w:rPr>
      </w:pPr>
    </w:p>
    <w:p w14:paraId="1D2EA23A" w14:textId="77777777" w:rsidR="00E63E9B" w:rsidRPr="00BA4FDF" w:rsidRDefault="00E63E9B" w:rsidP="00E63E9B">
      <w:pPr>
        <w:rPr>
          <w:rFonts w:cs="Arial"/>
          <w:color w:val="BFBFBF" w:themeColor="background1" w:themeShade="BF"/>
          <w:szCs w:val="22"/>
          <w:lang w:eastAsia="en-US"/>
        </w:rPr>
      </w:pPr>
      <w:r w:rsidRPr="00BA4FDF">
        <w:rPr>
          <w:rFonts w:cs="Arial"/>
          <w:color w:val="BFBFBF" w:themeColor="background1" w:themeShade="BF"/>
          <w:szCs w:val="22"/>
          <w:lang w:eastAsia="en-US"/>
        </w:rPr>
        <w:t>Nach der Gutachterbewertung im Anschluss an die Vor-Ort-Begehung und der Stellungnahme der Hochschule</w:t>
      </w:r>
      <w:r w:rsidRPr="00BA4FDF">
        <w:rPr>
          <w:rFonts w:cs="Arial"/>
          <w:color w:val="BFBFBF" w:themeColor="background1" w:themeShade="BF"/>
          <w:szCs w:val="22"/>
          <w:highlight w:val="yellow"/>
          <w:lang w:eastAsia="en-US"/>
        </w:rPr>
        <w:t>/</w:t>
      </w:r>
      <w:r w:rsidRPr="00BA4FDF">
        <w:rPr>
          <w:rFonts w:cs="Arial"/>
          <w:color w:val="BFBFBF" w:themeColor="background1" w:themeShade="BF"/>
          <w:szCs w:val="22"/>
          <w:lang w:eastAsia="en-US"/>
        </w:rPr>
        <w:t>Universität haben der zuständige Fachausschuss</w:t>
      </w:r>
      <w:r w:rsidRPr="00BA4FDF">
        <w:rPr>
          <w:rFonts w:cs="Arial"/>
          <w:color w:val="BFBFBF" w:themeColor="background1" w:themeShade="BF"/>
          <w:szCs w:val="22"/>
          <w:highlight w:val="yellow"/>
          <w:lang w:eastAsia="en-US"/>
        </w:rPr>
        <w:t>/</w:t>
      </w:r>
      <w:r w:rsidRPr="00BA4FDF">
        <w:rPr>
          <w:rFonts w:cs="Arial"/>
          <w:color w:val="BFBFBF" w:themeColor="background1" w:themeShade="BF"/>
          <w:szCs w:val="22"/>
          <w:lang w:eastAsia="en-US"/>
        </w:rPr>
        <w:t xml:space="preserve">die zuständigen Fachausschüsse und die </w:t>
      </w:r>
      <w:r w:rsidR="00947E5D" w:rsidRPr="00BA4FDF">
        <w:rPr>
          <w:rFonts w:cs="Arial"/>
          <w:color w:val="BFBFBF" w:themeColor="background1" w:themeShade="BF"/>
          <w:szCs w:val="22"/>
          <w:lang w:eastAsia="en-US"/>
        </w:rPr>
        <w:t>Akkreditierungskommission</w:t>
      </w:r>
      <w:r w:rsidRPr="00BA4FDF">
        <w:rPr>
          <w:rFonts w:cs="Arial"/>
          <w:color w:val="BFBFBF" w:themeColor="background1" w:themeShade="BF"/>
          <w:szCs w:val="22"/>
          <w:lang w:eastAsia="en-US"/>
        </w:rPr>
        <w:t xml:space="preserve"> das Verfahren behandelt:</w:t>
      </w:r>
    </w:p>
    <w:p w14:paraId="211239FA" w14:textId="77777777" w:rsidR="00E63E9B" w:rsidRPr="006618D8" w:rsidRDefault="00E63E9B" w:rsidP="00E63E9B">
      <w:pPr>
        <w:rPr>
          <w:rFonts w:cs="Arial"/>
          <w:color w:val="BFBFBF" w:themeColor="background1" w:themeShade="BF"/>
          <w:szCs w:val="22"/>
          <w:lang w:eastAsia="en-US"/>
        </w:rPr>
      </w:pPr>
    </w:p>
    <w:p w14:paraId="5346FA6B" w14:textId="77777777" w:rsidR="00E63E9B" w:rsidRPr="006618D8" w:rsidRDefault="00E63E9B" w:rsidP="00E63E9B">
      <w:pPr>
        <w:rPr>
          <w:rFonts w:cs="Arial"/>
          <w:b/>
          <w:color w:val="BFBFBF" w:themeColor="background1" w:themeShade="BF"/>
          <w:szCs w:val="22"/>
          <w:lang w:eastAsia="en-US"/>
        </w:rPr>
      </w:pPr>
      <w:r w:rsidRPr="006618D8">
        <w:rPr>
          <w:rFonts w:cs="Arial"/>
          <w:b/>
          <w:color w:val="BFBFBF" w:themeColor="background1" w:themeShade="BF"/>
          <w:szCs w:val="22"/>
          <w:lang w:eastAsia="en-US"/>
        </w:rPr>
        <w:t>Fachausschuss xx - NAME</w:t>
      </w:r>
    </w:p>
    <w:p w14:paraId="6501C977" w14:textId="77777777" w:rsidR="00E63E9B" w:rsidRPr="006618D8" w:rsidRDefault="00E63E9B" w:rsidP="00E63E9B">
      <w:pPr>
        <w:rPr>
          <w:rFonts w:cs="Arial"/>
          <w:color w:val="BFBFBF" w:themeColor="background1" w:themeShade="BF"/>
          <w:szCs w:val="22"/>
          <w:lang w:eastAsia="en-US"/>
        </w:rPr>
      </w:pPr>
      <w:r w:rsidRPr="006618D8">
        <w:rPr>
          <w:rFonts w:cs="Arial"/>
          <w:color w:val="BFBFBF" w:themeColor="background1" w:themeShade="BF"/>
          <w:szCs w:val="22"/>
          <w:lang w:eastAsia="en-US"/>
        </w:rPr>
        <w:t>Der Fachausschuss diskutiert das Verfahren und folgt den Gutachterbewertungen ohne Änderungen.</w:t>
      </w:r>
    </w:p>
    <w:p w14:paraId="109AB7F8" w14:textId="77777777" w:rsidR="00E63E9B" w:rsidRPr="006618D8" w:rsidRDefault="00E63E9B" w:rsidP="00E63E9B">
      <w:pPr>
        <w:rPr>
          <w:rFonts w:cs="Arial"/>
          <w:b/>
          <w:color w:val="BFBFBF" w:themeColor="background1" w:themeShade="BF"/>
          <w:szCs w:val="22"/>
          <w:lang w:eastAsia="en-US"/>
        </w:rPr>
      </w:pPr>
      <w:r w:rsidRPr="006618D8">
        <w:rPr>
          <w:rFonts w:cs="Arial"/>
          <w:b/>
          <w:color w:val="BFBFBF" w:themeColor="background1" w:themeShade="BF"/>
          <w:szCs w:val="22"/>
          <w:lang w:eastAsia="en-US"/>
        </w:rPr>
        <w:t>oder</w:t>
      </w:r>
    </w:p>
    <w:p w14:paraId="1A90617D" w14:textId="77777777" w:rsidR="00E63E9B" w:rsidRPr="006618D8" w:rsidRDefault="00E63E9B" w:rsidP="00E63E9B">
      <w:pPr>
        <w:rPr>
          <w:rFonts w:cs="Arial"/>
          <w:color w:val="BFBFBF" w:themeColor="background1" w:themeShade="BF"/>
          <w:szCs w:val="22"/>
          <w:lang w:eastAsia="en-US"/>
        </w:rPr>
      </w:pPr>
      <w:r w:rsidRPr="006618D8">
        <w:rPr>
          <w:rFonts w:cs="Arial"/>
          <w:color w:val="BFBFBF" w:themeColor="background1" w:themeShade="BF"/>
          <w:szCs w:val="22"/>
          <w:lang w:eastAsia="en-US"/>
        </w:rPr>
        <w:t>Der Fachausschuss diskutiert das Verfahren und weicht hinsichtlich folgender Aspekte von der Bewertung der Gutachter ab:</w:t>
      </w:r>
    </w:p>
    <w:p w14:paraId="2FF8BB53" w14:textId="77777777" w:rsidR="00E63E9B" w:rsidRPr="006618D8" w:rsidRDefault="00E63E9B" w:rsidP="00E63E9B">
      <w:pPr>
        <w:rPr>
          <w:rFonts w:cs="Arial"/>
          <w:color w:val="BFBFBF" w:themeColor="background1" w:themeShade="BF"/>
          <w:szCs w:val="22"/>
          <w:lang w:eastAsia="en-US"/>
        </w:rPr>
      </w:pPr>
    </w:p>
    <w:p w14:paraId="01004E96" w14:textId="7373C446" w:rsidR="00E63E9B" w:rsidRPr="006618D8" w:rsidRDefault="00E63E9B" w:rsidP="00E63E9B">
      <w:pPr>
        <w:rPr>
          <w:rFonts w:cs="Arial"/>
          <w:color w:val="BFBFBF" w:themeColor="background1" w:themeShade="BF"/>
          <w:szCs w:val="22"/>
          <w:lang w:eastAsia="en-US"/>
        </w:rPr>
      </w:pPr>
      <w:r w:rsidRPr="006618D8">
        <w:rPr>
          <w:rFonts w:cs="Arial"/>
          <w:color w:val="BFBFBF" w:themeColor="background1" w:themeShade="BF"/>
          <w:szCs w:val="22"/>
          <w:lang w:eastAsia="en-US"/>
        </w:rPr>
        <w:t>[ggf. weitere beteiligte FA aufführen]</w:t>
      </w:r>
    </w:p>
    <w:p w14:paraId="03D378E2" w14:textId="77777777" w:rsidR="00E63E9B" w:rsidRPr="006618D8" w:rsidRDefault="00947E5D" w:rsidP="00E63E9B">
      <w:pPr>
        <w:rPr>
          <w:rFonts w:cs="Arial"/>
          <w:b/>
          <w:color w:val="BFBFBF" w:themeColor="background1" w:themeShade="BF"/>
          <w:szCs w:val="22"/>
          <w:lang w:eastAsia="en-US"/>
        </w:rPr>
      </w:pPr>
      <w:r w:rsidRPr="006618D8">
        <w:rPr>
          <w:rFonts w:cs="Arial"/>
          <w:b/>
          <w:color w:val="BFBFBF" w:themeColor="background1" w:themeShade="BF"/>
          <w:szCs w:val="22"/>
          <w:lang w:eastAsia="en-US"/>
        </w:rPr>
        <w:lastRenderedPageBreak/>
        <w:t>Akkreditierungskommission</w:t>
      </w:r>
    </w:p>
    <w:p w14:paraId="0CA81646" w14:textId="77777777" w:rsidR="00E63E9B" w:rsidRPr="006618D8" w:rsidRDefault="00E63E9B" w:rsidP="00E63E9B">
      <w:pPr>
        <w:rPr>
          <w:rFonts w:cs="Arial"/>
          <w:color w:val="BFBFBF" w:themeColor="background1" w:themeShade="BF"/>
          <w:szCs w:val="22"/>
          <w:lang w:eastAsia="en-US"/>
        </w:rPr>
      </w:pPr>
      <w:r w:rsidRPr="006618D8">
        <w:rPr>
          <w:rFonts w:cs="Arial"/>
          <w:color w:val="BFBFBF" w:themeColor="background1" w:themeShade="BF"/>
          <w:szCs w:val="22"/>
          <w:lang w:eastAsia="en-US"/>
        </w:rPr>
        <w:t xml:space="preserve">Die </w:t>
      </w:r>
      <w:r w:rsidR="00947E5D" w:rsidRPr="006618D8">
        <w:rPr>
          <w:rFonts w:cs="Arial"/>
          <w:color w:val="BFBFBF" w:themeColor="background1" w:themeShade="BF"/>
          <w:szCs w:val="22"/>
          <w:lang w:eastAsia="en-US"/>
        </w:rPr>
        <w:t>Akkreditierungskommission</w:t>
      </w:r>
      <w:r w:rsidRPr="006618D8">
        <w:rPr>
          <w:rFonts w:cs="Arial"/>
          <w:color w:val="BFBFBF" w:themeColor="background1" w:themeShade="BF"/>
          <w:szCs w:val="22"/>
          <w:lang w:eastAsia="en-US"/>
        </w:rPr>
        <w:t xml:space="preserve"> diskutiert das Verfahren am [</w:t>
      </w:r>
      <w:proofErr w:type="spellStart"/>
      <w:r w:rsidRPr="006618D8">
        <w:rPr>
          <w:rFonts w:cs="Arial"/>
          <w:color w:val="BFBFBF" w:themeColor="background1" w:themeShade="BF"/>
          <w:szCs w:val="22"/>
          <w:lang w:eastAsia="en-US"/>
        </w:rPr>
        <w:t>dd.</w:t>
      </w:r>
      <w:proofErr w:type="gramStart"/>
      <w:r w:rsidRPr="006618D8">
        <w:rPr>
          <w:rFonts w:cs="Arial"/>
          <w:color w:val="BFBFBF" w:themeColor="background1" w:themeShade="BF"/>
          <w:szCs w:val="22"/>
          <w:lang w:eastAsia="en-US"/>
        </w:rPr>
        <w:t>mm.jjjj</w:t>
      </w:r>
      <w:proofErr w:type="spellEnd"/>
      <w:proofErr w:type="gramEnd"/>
      <w:r w:rsidRPr="006618D8">
        <w:rPr>
          <w:rFonts w:cs="Arial"/>
          <w:color w:val="BFBFBF" w:themeColor="background1" w:themeShade="BF"/>
          <w:szCs w:val="22"/>
          <w:lang w:eastAsia="en-US"/>
        </w:rPr>
        <w:t xml:space="preserve">] und schließt sich den Bewertungen der Gutachter und des Fachausschusses </w:t>
      </w:r>
      <w:r w:rsidRPr="006618D8">
        <w:rPr>
          <w:rFonts w:cs="Arial"/>
          <w:color w:val="BFBFBF" w:themeColor="background1" w:themeShade="BF"/>
          <w:szCs w:val="22"/>
          <w:highlight w:val="yellow"/>
          <w:lang w:eastAsia="en-US"/>
        </w:rPr>
        <w:t>/</w:t>
      </w:r>
      <w:r w:rsidRPr="006618D8">
        <w:rPr>
          <w:rFonts w:cs="Arial"/>
          <w:color w:val="BFBFBF" w:themeColor="background1" w:themeShade="BF"/>
          <w:szCs w:val="22"/>
          <w:lang w:eastAsia="en-US"/>
        </w:rPr>
        <w:t xml:space="preserve"> der Fachausschüsse ohne Änderungen an.</w:t>
      </w:r>
    </w:p>
    <w:p w14:paraId="276B3F9E" w14:textId="77777777" w:rsidR="00E63E9B" w:rsidRPr="006618D8" w:rsidRDefault="00E63E9B" w:rsidP="00E63E9B">
      <w:pPr>
        <w:rPr>
          <w:rFonts w:cs="Arial"/>
          <w:b/>
          <w:color w:val="BFBFBF" w:themeColor="background1" w:themeShade="BF"/>
          <w:szCs w:val="22"/>
          <w:lang w:eastAsia="en-US"/>
        </w:rPr>
      </w:pPr>
      <w:r w:rsidRPr="006618D8">
        <w:rPr>
          <w:rFonts w:cs="Arial"/>
          <w:b/>
          <w:color w:val="BFBFBF" w:themeColor="background1" w:themeShade="BF"/>
          <w:szCs w:val="22"/>
          <w:lang w:eastAsia="en-US"/>
        </w:rPr>
        <w:t>Oder</w:t>
      </w:r>
    </w:p>
    <w:p w14:paraId="58744F1D" w14:textId="77777777" w:rsidR="00E63E9B" w:rsidRPr="006618D8" w:rsidRDefault="00E63E9B" w:rsidP="00E63E9B">
      <w:pPr>
        <w:rPr>
          <w:rFonts w:cs="Arial"/>
          <w:b/>
          <w:color w:val="BFBFBF" w:themeColor="background1" w:themeShade="BF"/>
          <w:szCs w:val="22"/>
          <w:lang w:eastAsia="en-US"/>
        </w:rPr>
      </w:pPr>
      <w:r w:rsidRPr="006618D8">
        <w:rPr>
          <w:rFonts w:cs="Arial"/>
          <w:color w:val="BFBFBF" w:themeColor="background1" w:themeShade="BF"/>
          <w:szCs w:val="22"/>
          <w:lang w:eastAsia="en-US"/>
        </w:rPr>
        <w:t xml:space="preserve">Die </w:t>
      </w:r>
      <w:r w:rsidR="00947E5D" w:rsidRPr="006618D8">
        <w:rPr>
          <w:rFonts w:cs="Arial"/>
          <w:color w:val="BFBFBF" w:themeColor="background1" w:themeShade="BF"/>
          <w:szCs w:val="22"/>
          <w:lang w:eastAsia="en-US"/>
        </w:rPr>
        <w:t>Akkreditierungskommission</w:t>
      </w:r>
      <w:r w:rsidRPr="006618D8">
        <w:rPr>
          <w:rFonts w:cs="Arial"/>
          <w:color w:val="BFBFBF" w:themeColor="background1" w:themeShade="BF"/>
          <w:szCs w:val="22"/>
          <w:lang w:eastAsia="en-US"/>
        </w:rPr>
        <w:t xml:space="preserve"> diskutiert das Verfahren am [</w:t>
      </w:r>
      <w:proofErr w:type="spellStart"/>
      <w:r w:rsidRPr="006618D8">
        <w:rPr>
          <w:rFonts w:cs="Arial"/>
          <w:color w:val="BFBFBF" w:themeColor="background1" w:themeShade="BF"/>
          <w:szCs w:val="22"/>
          <w:lang w:eastAsia="en-US"/>
        </w:rPr>
        <w:t>dd.</w:t>
      </w:r>
      <w:proofErr w:type="gramStart"/>
      <w:r w:rsidRPr="006618D8">
        <w:rPr>
          <w:rFonts w:cs="Arial"/>
          <w:color w:val="BFBFBF" w:themeColor="background1" w:themeShade="BF"/>
          <w:szCs w:val="22"/>
          <w:lang w:eastAsia="en-US"/>
        </w:rPr>
        <w:t>mm.jjjj</w:t>
      </w:r>
      <w:proofErr w:type="spellEnd"/>
      <w:proofErr w:type="gramEnd"/>
      <w:r w:rsidRPr="006618D8">
        <w:rPr>
          <w:rFonts w:cs="Arial"/>
          <w:color w:val="BFBFBF" w:themeColor="background1" w:themeShade="BF"/>
          <w:szCs w:val="22"/>
          <w:lang w:eastAsia="en-US"/>
        </w:rPr>
        <w:t xml:space="preserve">]  und nimmt folgende Änderungen vor … [mit Begründungen] </w:t>
      </w:r>
    </w:p>
    <w:p w14:paraId="010BE6A7" w14:textId="77777777" w:rsidR="00E63E9B" w:rsidRPr="006618D8" w:rsidRDefault="00E63E9B" w:rsidP="00E63E9B">
      <w:pPr>
        <w:rPr>
          <w:rFonts w:cs="Arial"/>
          <w:color w:val="BFBFBF" w:themeColor="background1" w:themeShade="BF"/>
          <w:szCs w:val="22"/>
          <w:lang w:eastAsia="en-US"/>
        </w:rPr>
      </w:pPr>
      <w:r w:rsidRPr="006618D8">
        <w:rPr>
          <w:color w:val="BFBFBF" w:themeColor="background1" w:themeShade="BF"/>
        </w:rPr>
        <w:t xml:space="preserve">Die </w:t>
      </w:r>
      <w:r w:rsidR="00947E5D" w:rsidRPr="006618D8">
        <w:rPr>
          <w:color w:val="BFBFBF" w:themeColor="background1" w:themeShade="BF"/>
        </w:rPr>
        <w:t>Akkreditierungskommission</w:t>
      </w:r>
      <w:r w:rsidRPr="006618D8">
        <w:rPr>
          <w:color w:val="BFBFBF" w:themeColor="background1" w:themeShade="BF"/>
        </w:rPr>
        <w:t xml:space="preserve"> empfiehlt dem Akkreditierungsrat eine Akkreditierung mit</w:t>
      </w:r>
      <w:r w:rsidRPr="006618D8">
        <w:rPr>
          <w:color w:val="BFBFBF" w:themeColor="background1" w:themeShade="BF"/>
          <w:highlight w:val="yellow"/>
        </w:rPr>
        <w:t>/</w:t>
      </w:r>
      <w:r w:rsidRPr="006618D8">
        <w:rPr>
          <w:color w:val="BFBFBF" w:themeColor="background1" w:themeShade="BF"/>
        </w:rPr>
        <w:t>ohne Auflagen.</w:t>
      </w:r>
    </w:p>
    <w:p w14:paraId="409C4359" w14:textId="77777777" w:rsidR="00E63E9B" w:rsidRPr="006618D8" w:rsidRDefault="00E63E9B" w:rsidP="00E63E9B">
      <w:pPr>
        <w:rPr>
          <w:rFonts w:cs="Arial"/>
          <w:color w:val="BFBFBF" w:themeColor="background1" w:themeShade="BF"/>
          <w:szCs w:val="22"/>
          <w:lang w:eastAsia="en-US"/>
        </w:rPr>
      </w:pPr>
      <w:r w:rsidRPr="006618D8">
        <w:rPr>
          <w:rFonts w:cs="Arial"/>
          <w:color w:val="BFBFBF" w:themeColor="background1" w:themeShade="BF"/>
          <w:szCs w:val="22"/>
          <w:lang w:eastAsia="en-US"/>
        </w:rPr>
        <w:t>Auflagen</w:t>
      </w:r>
    </w:p>
    <w:p w14:paraId="45D08D64" w14:textId="77777777" w:rsidR="00E63E9B" w:rsidRPr="006618D8" w:rsidRDefault="00E63E9B" w:rsidP="00E63E9B">
      <w:pPr>
        <w:spacing w:before="0" w:after="120"/>
        <w:rPr>
          <w:rFonts w:cs="Arial"/>
          <w:color w:val="BFBFBF" w:themeColor="background1" w:themeShade="BF"/>
          <w:szCs w:val="22"/>
          <w:lang w:eastAsia="en-US"/>
        </w:rPr>
      </w:pPr>
      <w:r w:rsidRPr="006618D8">
        <w:rPr>
          <w:rFonts w:cs="Arial"/>
          <w:color w:val="BFBFBF" w:themeColor="background1" w:themeShade="BF"/>
          <w:szCs w:val="22"/>
          <w:lang w:eastAsia="en-US"/>
        </w:rPr>
        <w:t>Auflage 1 (Kriterium ##): [Text]</w:t>
      </w:r>
    </w:p>
    <w:p w14:paraId="6CCD1562" w14:textId="77777777" w:rsidR="00E63E9B" w:rsidRPr="006618D8" w:rsidRDefault="00E63E9B" w:rsidP="00E63E9B">
      <w:pPr>
        <w:spacing w:before="0" w:after="120"/>
        <w:rPr>
          <w:rFonts w:cs="Arial"/>
          <w:color w:val="BFBFBF" w:themeColor="background1" w:themeShade="BF"/>
          <w:szCs w:val="22"/>
          <w:lang w:eastAsia="en-US"/>
        </w:rPr>
      </w:pPr>
      <w:r w:rsidRPr="006618D8">
        <w:rPr>
          <w:rFonts w:cs="Arial"/>
          <w:color w:val="BFBFBF" w:themeColor="background1" w:themeShade="BF"/>
          <w:szCs w:val="22"/>
          <w:lang w:eastAsia="en-US"/>
        </w:rPr>
        <w:t>Auflage n (Kriterium ##): [Text]</w:t>
      </w:r>
    </w:p>
    <w:p w14:paraId="12BA4B90" w14:textId="77777777" w:rsidR="00E63E9B" w:rsidRPr="006618D8" w:rsidRDefault="00E63E9B" w:rsidP="00E63E9B">
      <w:pPr>
        <w:spacing w:before="0" w:after="120"/>
        <w:rPr>
          <w:rFonts w:cs="Arial"/>
          <w:color w:val="BFBFBF" w:themeColor="background1" w:themeShade="BF"/>
          <w:szCs w:val="22"/>
          <w:lang w:eastAsia="en-US"/>
        </w:rPr>
      </w:pPr>
      <w:r w:rsidRPr="006618D8">
        <w:rPr>
          <w:rFonts w:cs="Arial"/>
          <w:color w:val="BFBFBF" w:themeColor="background1" w:themeShade="BF"/>
          <w:szCs w:val="22"/>
          <w:lang w:eastAsia="en-US"/>
        </w:rPr>
        <w:t>Hinweise</w:t>
      </w:r>
    </w:p>
    <w:p w14:paraId="0FF189A4" w14:textId="77777777" w:rsidR="00E63E9B" w:rsidRPr="006618D8" w:rsidRDefault="00E63E9B" w:rsidP="00E63E9B">
      <w:pPr>
        <w:spacing w:before="0" w:after="120"/>
        <w:rPr>
          <w:rFonts w:cs="Arial"/>
          <w:color w:val="BFBFBF" w:themeColor="background1" w:themeShade="BF"/>
          <w:szCs w:val="22"/>
          <w:lang w:eastAsia="en-US"/>
        </w:rPr>
      </w:pPr>
      <w:r w:rsidRPr="006618D8">
        <w:rPr>
          <w:rFonts w:cs="Arial"/>
          <w:color w:val="BFBFBF" w:themeColor="background1" w:themeShade="BF"/>
          <w:szCs w:val="22"/>
          <w:lang w:eastAsia="en-US"/>
        </w:rPr>
        <w:t>Hinweis 1 (Kriterium ##): [Text]</w:t>
      </w:r>
    </w:p>
    <w:p w14:paraId="403A0024" w14:textId="77777777" w:rsidR="00E63E9B" w:rsidRPr="006618D8" w:rsidRDefault="00E63E9B" w:rsidP="00E63E9B">
      <w:pPr>
        <w:spacing w:before="0" w:after="120"/>
        <w:rPr>
          <w:rFonts w:cs="Arial"/>
          <w:color w:val="BFBFBF" w:themeColor="background1" w:themeShade="BF"/>
          <w:szCs w:val="22"/>
          <w:lang w:eastAsia="en-US"/>
        </w:rPr>
      </w:pPr>
      <w:r w:rsidRPr="006618D8">
        <w:rPr>
          <w:rFonts w:cs="Arial"/>
          <w:color w:val="BFBFBF" w:themeColor="background1" w:themeShade="BF"/>
          <w:szCs w:val="22"/>
          <w:lang w:eastAsia="en-US"/>
        </w:rPr>
        <w:t>Hinweis n (Kriterium ##): [Text]</w:t>
      </w:r>
    </w:p>
    <w:p w14:paraId="0C243B53" w14:textId="77777777" w:rsidR="00E63E9B" w:rsidRPr="006618D8" w:rsidRDefault="00E63E9B" w:rsidP="00E63E9B">
      <w:pPr>
        <w:rPr>
          <w:rFonts w:cs="Arial"/>
          <w:color w:val="BFBFBF" w:themeColor="background1" w:themeShade="BF"/>
          <w:szCs w:val="22"/>
          <w:lang w:eastAsia="en-US"/>
        </w:rPr>
      </w:pPr>
    </w:p>
    <w:p w14:paraId="7BDE97A1" w14:textId="5FBB97FE" w:rsidR="00E63E9B" w:rsidRPr="006618D8" w:rsidRDefault="00E63E9B" w:rsidP="00BA4FDF">
      <w:pPr>
        <w:rPr>
          <w:rFonts w:cs="Arial"/>
          <w:color w:val="BFBFBF" w:themeColor="background1" w:themeShade="BF"/>
          <w:szCs w:val="22"/>
          <w:lang w:eastAsia="en-US"/>
        </w:rPr>
      </w:pPr>
      <w:r w:rsidRPr="006618D8">
        <w:rPr>
          <w:rFonts w:cs="Arial"/>
          <w:color w:val="BFBFBF" w:themeColor="background1" w:themeShade="BF"/>
          <w:szCs w:val="22"/>
          <w:lang w:eastAsia="en-US"/>
        </w:rPr>
        <w:t xml:space="preserve">Die Hochschule hat keine Qualitätsverbesserungsschleife durchlaufen. </w:t>
      </w:r>
    </w:p>
    <w:p w14:paraId="7318C5B9" w14:textId="66EA5585" w:rsidR="00E63E9B" w:rsidRDefault="00E63E9B" w:rsidP="00E63E9B">
      <w:pPr>
        <w:rPr>
          <w:rFonts w:cs="Arial"/>
          <w:szCs w:val="22"/>
          <w:lang w:eastAsia="en-US"/>
        </w:rPr>
      </w:pPr>
    </w:p>
    <w:p w14:paraId="18663728" w14:textId="77777777" w:rsidR="001300E0" w:rsidRPr="00457100" w:rsidRDefault="001300E0" w:rsidP="000C6632">
      <w:pPr>
        <w:pStyle w:val="berschrift2"/>
      </w:pPr>
      <w:bookmarkStart w:id="72" w:name="_Toc190351720"/>
      <w:r w:rsidRPr="00457100">
        <w:t>Rechtliche Grundlagen</w:t>
      </w:r>
      <w:bookmarkEnd w:id="72"/>
    </w:p>
    <w:p w14:paraId="245EB134" w14:textId="77777777" w:rsidR="001300E0" w:rsidRPr="00B903DB" w:rsidRDefault="001300E0" w:rsidP="001300E0">
      <w:pPr>
        <w:rPr>
          <w:rFonts w:cs="Arial"/>
          <w:i/>
          <w:szCs w:val="22"/>
          <w:lang w:eastAsia="en-US"/>
        </w:rPr>
      </w:pPr>
      <w:r w:rsidRPr="00B903DB">
        <w:rPr>
          <w:rFonts w:cs="Arial"/>
          <w:i/>
          <w:szCs w:val="22"/>
          <w:lang w:eastAsia="en-US"/>
        </w:rPr>
        <w:t>Akkreditierungsstaatsvertrag</w:t>
      </w:r>
    </w:p>
    <w:p w14:paraId="5FC0F028" w14:textId="77777777" w:rsidR="00E7254B" w:rsidRPr="00B903DB" w:rsidRDefault="00E464D5" w:rsidP="00E7254B">
      <w:pPr>
        <w:pStyle w:val="Kommentartext"/>
        <w:rPr>
          <w:sz w:val="22"/>
          <w:szCs w:val="22"/>
        </w:rPr>
      </w:pPr>
      <w:r w:rsidRPr="00B903DB">
        <w:rPr>
          <w:rFonts w:cs="Arial"/>
          <w:i/>
          <w:sz w:val="22"/>
          <w:szCs w:val="22"/>
          <w:lang w:eastAsia="en-US"/>
        </w:rPr>
        <w:t>Musterrechtsverordnung</w:t>
      </w:r>
      <w:r w:rsidR="00296597" w:rsidRPr="00B903DB">
        <w:rPr>
          <w:rFonts w:cs="Arial"/>
          <w:i/>
          <w:sz w:val="22"/>
          <w:szCs w:val="22"/>
          <w:lang w:eastAsia="en-US"/>
        </w:rPr>
        <w:t xml:space="preserve"> / </w:t>
      </w:r>
      <w:r w:rsidR="006618D8" w:rsidRPr="006618D8">
        <w:rPr>
          <w:rFonts w:cs="Arial"/>
          <w:i/>
          <w:sz w:val="22"/>
          <w:szCs w:val="22"/>
          <w:lang w:eastAsia="en-US"/>
        </w:rPr>
        <w:t>Studienakkre</w:t>
      </w:r>
      <w:r w:rsidR="006618D8">
        <w:rPr>
          <w:rFonts w:cs="Arial"/>
          <w:i/>
          <w:sz w:val="22"/>
          <w:szCs w:val="22"/>
          <w:lang w:eastAsia="en-US"/>
        </w:rPr>
        <w:t xml:space="preserve">ditierungsverordnung - </w:t>
      </w:r>
      <w:proofErr w:type="spellStart"/>
      <w:r w:rsidR="006618D8">
        <w:rPr>
          <w:rFonts w:cs="Arial"/>
          <w:i/>
          <w:sz w:val="22"/>
          <w:szCs w:val="22"/>
          <w:lang w:eastAsia="en-US"/>
        </w:rPr>
        <w:t>StudAkkV</w:t>
      </w:r>
      <w:proofErr w:type="spellEnd"/>
    </w:p>
    <w:p w14:paraId="07CA0753" w14:textId="77777777" w:rsidR="009B0EF7" w:rsidRPr="00B903DB" w:rsidRDefault="009B0EF7" w:rsidP="001300E0">
      <w:pPr>
        <w:rPr>
          <w:rFonts w:cs="Arial"/>
          <w:szCs w:val="22"/>
          <w:lang w:eastAsia="en-US"/>
        </w:rPr>
      </w:pPr>
    </w:p>
    <w:p w14:paraId="6C87B7FE" w14:textId="77777777" w:rsidR="001300E0" w:rsidRPr="00457100" w:rsidRDefault="001300E0" w:rsidP="000C6632">
      <w:pPr>
        <w:pStyle w:val="berschrift2"/>
      </w:pPr>
      <w:bookmarkStart w:id="73" w:name="_Toc190351721"/>
      <w:r w:rsidRPr="00457100">
        <w:t>Gutachter</w:t>
      </w:r>
      <w:r w:rsidR="00961F57">
        <w:t>gremium</w:t>
      </w:r>
      <w:bookmarkEnd w:id="73"/>
    </w:p>
    <w:p w14:paraId="2DAA77FF" w14:textId="77777777" w:rsidR="00067D30" w:rsidRDefault="00067D30" w:rsidP="0044081B">
      <w:pPr>
        <w:pStyle w:val="Listenabsatz"/>
        <w:numPr>
          <w:ilvl w:val="0"/>
          <w:numId w:val="3"/>
        </w:numPr>
        <w:contextualSpacing w:val="0"/>
        <w:rPr>
          <w:rFonts w:cs="Arial"/>
        </w:rPr>
      </w:pPr>
      <w:r w:rsidRPr="00067D30">
        <w:rPr>
          <w:rFonts w:cs="Arial"/>
        </w:rPr>
        <w:t>Hochschullehrerinnen / Hochschullehrer</w:t>
      </w:r>
    </w:p>
    <w:p w14:paraId="7FCA3AB0" w14:textId="77777777" w:rsidR="006618D8" w:rsidRPr="006618D8" w:rsidRDefault="006618D8" w:rsidP="006618D8">
      <w:pPr>
        <w:pStyle w:val="Listenabsatz"/>
        <w:numPr>
          <w:ilvl w:val="0"/>
          <w:numId w:val="0"/>
        </w:numPr>
        <w:spacing w:before="0"/>
        <w:ind w:left="720"/>
        <w:rPr>
          <w:rFonts w:cs="Arial"/>
          <w:lang w:val="sv-SE"/>
        </w:rPr>
      </w:pPr>
      <w:r>
        <w:rPr>
          <w:rFonts w:cs="Arial"/>
          <w:lang w:val="sv-SE"/>
        </w:rPr>
        <w:t xml:space="preserve">Prof. Dr.-Ing. Steffen Paul, </w:t>
      </w:r>
      <w:r w:rsidRPr="006618D8">
        <w:rPr>
          <w:rFonts w:cs="Arial"/>
          <w:lang w:val="sv-SE"/>
        </w:rPr>
        <w:t>Universität Bremen</w:t>
      </w:r>
    </w:p>
    <w:p w14:paraId="0C3A75F7" w14:textId="77777777" w:rsidR="004E2630" w:rsidRPr="006618D8" w:rsidRDefault="006618D8" w:rsidP="006618D8">
      <w:pPr>
        <w:pStyle w:val="Listenabsatz"/>
        <w:numPr>
          <w:ilvl w:val="0"/>
          <w:numId w:val="0"/>
        </w:numPr>
        <w:spacing w:before="0"/>
        <w:ind w:left="720"/>
        <w:rPr>
          <w:rFonts w:cs="Arial"/>
          <w:lang w:val="sv-SE"/>
        </w:rPr>
      </w:pPr>
      <w:r w:rsidRPr="006618D8">
        <w:rPr>
          <w:rFonts w:cs="Arial"/>
          <w:lang w:val="sv-SE"/>
        </w:rPr>
        <w:t>Prof. Dr.</w:t>
      </w:r>
      <w:r>
        <w:rPr>
          <w:rFonts w:cs="Arial"/>
          <w:lang w:val="sv-SE"/>
        </w:rPr>
        <w:t xml:space="preserve"> rer.nat. habil. Frank Gronwald, </w:t>
      </w:r>
      <w:r w:rsidRPr="006618D8">
        <w:rPr>
          <w:rFonts w:cs="Arial"/>
          <w:lang w:val="sv-SE"/>
        </w:rPr>
        <w:t>Universität Siegen</w:t>
      </w:r>
    </w:p>
    <w:p w14:paraId="39CC3A4E" w14:textId="77777777" w:rsidR="00067D30" w:rsidRPr="00067D30" w:rsidRDefault="00067D30" w:rsidP="0044081B">
      <w:pPr>
        <w:pStyle w:val="Listenabsatz"/>
        <w:numPr>
          <w:ilvl w:val="0"/>
          <w:numId w:val="3"/>
        </w:numPr>
        <w:contextualSpacing w:val="0"/>
        <w:rPr>
          <w:rFonts w:cs="Arial"/>
        </w:rPr>
      </w:pPr>
      <w:r>
        <w:rPr>
          <w:rFonts w:cs="Arial"/>
        </w:rPr>
        <w:t>Vertreterin / Vertreter der Berufspraxis</w:t>
      </w:r>
    </w:p>
    <w:p w14:paraId="6AE5974D" w14:textId="77777777" w:rsidR="00067D30" w:rsidRPr="006618D8" w:rsidRDefault="006618D8" w:rsidP="006618D8">
      <w:pPr>
        <w:pStyle w:val="Listenabsatz"/>
        <w:numPr>
          <w:ilvl w:val="0"/>
          <w:numId w:val="0"/>
        </w:numPr>
        <w:spacing w:before="0"/>
        <w:ind w:left="720"/>
        <w:rPr>
          <w:rFonts w:cs="Arial"/>
          <w:lang w:val="sv-SE"/>
        </w:rPr>
      </w:pPr>
      <w:r>
        <w:rPr>
          <w:rFonts w:cs="Arial"/>
          <w:lang w:val="sv-SE"/>
        </w:rPr>
        <w:t xml:space="preserve">Harry Schilling, </w:t>
      </w:r>
      <w:r w:rsidRPr="006618D8">
        <w:rPr>
          <w:rFonts w:cs="Arial"/>
          <w:lang w:val="sv-SE"/>
        </w:rPr>
        <w:t>Bavarian Optics</w:t>
      </w:r>
    </w:p>
    <w:p w14:paraId="04EA646E" w14:textId="77777777" w:rsidR="006618D8" w:rsidRDefault="00067D30" w:rsidP="0044081B">
      <w:pPr>
        <w:pStyle w:val="Listenabsatz"/>
        <w:numPr>
          <w:ilvl w:val="0"/>
          <w:numId w:val="3"/>
        </w:numPr>
        <w:contextualSpacing w:val="0"/>
        <w:rPr>
          <w:rFonts w:cs="Arial"/>
        </w:rPr>
      </w:pPr>
      <w:r>
        <w:rPr>
          <w:rFonts w:cs="Arial"/>
        </w:rPr>
        <w:t>Studierende / Studierender</w:t>
      </w:r>
    </w:p>
    <w:p w14:paraId="2F1B8264" w14:textId="77777777" w:rsidR="006618D8" w:rsidRPr="006618D8" w:rsidRDefault="006618D8" w:rsidP="006618D8">
      <w:pPr>
        <w:pStyle w:val="Listenabsatz"/>
        <w:numPr>
          <w:ilvl w:val="0"/>
          <w:numId w:val="0"/>
        </w:numPr>
        <w:spacing w:before="0"/>
        <w:ind w:left="720"/>
        <w:rPr>
          <w:rFonts w:cs="Arial"/>
          <w:lang w:val="sv-SE"/>
        </w:rPr>
      </w:pPr>
      <w:r>
        <w:rPr>
          <w:rFonts w:cs="Arial"/>
          <w:lang w:val="sv-SE"/>
        </w:rPr>
        <w:t xml:space="preserve">Jan Rieger, </w:t>
      </w:r>
      <w:r w:rsidRPr="006618D8">
        <w:rPr>
          <w:rFonts w:cs="Arial"/>
          <w:lang w:val="sv-SE"/>
        </w:rPr>
        <w:t>Friedrich-Alexander-Universität Erlangen-Nürnberg</w:t>
      </w:r>
    </w:p>
    <w:p w14:paraId="4D65F32B" w14:textId="77777777" w:rsidR="00353ED3" w:rsidRPr="00B44433" w:rsidRDefault="00353ED3" w:rsidP="0044081B">
      <w:pPr>
        <w:pStyle w:val="Listenabsatz"/>
        <w:numPr>
          <w:ilvl w:val="0"/>
          <w:numId w:val="3"/>
        </w:numPr>
        <w:contextualSpacing w:val="0"/>
        <w:rPr>
          <w:rFonts w:cs="Arial"/>
        </w:rPr>
      </w:pPr>
      <w:r w:rsidRPr="00B44433">
        <w:rPr>
          <w:rFonts w:cs="Arial"/>
          <w:i/>
        </w:rPr>
        <w:br w:type="page"/>
      </w:r>
    </w:p>
    <w:p w14:paraId="5B2EA557" w14:textId="77777777" w:rsidR="00091E5E" w:rsidRDefault="00091E5E" w:rsidP="000C6632">
      <w:pPr>
        <w:pStyle w:val="berschrift1"/>
        <w:spacing w:before="0" w:after="120"/>
      </w:pPr>
      <w:bookmarkStart w:id="74" w:name="_Toc190351722"/>
      <w:r w:rsidRPr="00884895">
        <w:lastRenderedPageBreak/>
        <w:t>Daten</w:t>
      </w:r>
      <w:r w:rsidR="00CB166D">
        <w:t>blatt</w:t>
      </w:r>
      <w:bookmarkEnd w:id="74"/>
    </w:p>
    <w:p w14:paraId="2789E9F3" w14:textId="77777777" w:rsidR="00602F7E" w:rsidRDefault="00602F7E" w:rsidP="000C6632">
      <w:pPr>
        <w:pStyle w:val="berschrift2"/>
      </w:pPr>
      <w:bookmarkStart w:id="75" w:name="_Toc190351723"/>
      <w:r w:rsidRPr="00602F7E">
        <w:t>Daten zum Studiengang</w:t>
      </w:r>
      <w:bookmarkEnd w:id="75"/>
    </w:p>
    <w:p w14:paraId="70E0E5F7" w14:textId="77777777" w:rsidR="001848CC" w:rsidRDefault="006618D8" w:rsidP="00513CD3">
      <w:pPr>
        <w:rPr>
          <w:lang w:eastAsia="en-US"/>
        </w:rPr>
      </w:pPr>
      <w:r>
        <w:rPr>
          <w:lang w:eastAsia="en-US"/>
        </w:rPr>
        <w:t xml:space="preserve">Da der Studiengang erst im Wintersemester </w:t>
      </w:r>
      <w:r w:rsidRPr="006618D8">
        <w:rPr>
          <w:lang w:eastAsia="en-US"/>
        </w:rPr>
        <w:t>2024/2025</w:t>
      </w:r>
      <w:r>
        <w:rPr>
          <w:lang w:eastAsia="en-US"/>
        </w:rPr>
        <w:t xml:space="preserve"> gestartet ist, liegen noch keine </w:t>
      </w:r>
      <w:proofErr w:type="spellStart"/>
      <w:r>
        <w:rPr>
          <w:lang w:eastAsia="en-US"/>
        </w:rPr>
        <w:t>kohorten</w:t>
      </w:r>
      <w:proofErr w:type="spellEnd"/>
      <w:r>
        <w:rPr>
          <w:lang w:eastAsia="en-US"/>
        </w:rPr>
        <w:t xml:space="preserve">-basierte Statistiken zu dem Studiengang vor. </w:t>
      </w:r>
    </w:p>
    <w:p w14:paraId="7EE33B00" w14:textId="77777777" w:rsidR="006618D8" w:rsidRPr="006618D8" w:rsidRDefault="006618D8" w:rsidP="00513CD3">
      <w:pPr>
        <w:rPr>
          <w:lang w:eastAsia="en-US"/>
        </w:rPr>
      </w:pPr>
    </w:p>
    <w:p w14:paraId="6E5B5C05" w14:textId="77777777" w:rsidR="0033435A" w:rsidRDefault="0033435A" w:rsidP="00513CD3">
      <w:pPr>
        <w:rPr>
          <w:rFonts w:cs="Arial"/>
          <w:sz w:val="20"/>
          <w:szCs w:val="20"/>
          <w:lang w:eastAsia="en-US"/>
        </w:rPr>
      </w:pPr>
    </w:p>
    <w:p w14:paraId="41E610BF" w14:textId="77777777" w:rsidR="00091E5E" w:rsidRPr="00884895" w:rsidRDefault="00091E5E" w:rsidP="00B95E79">
      <w:pPr>
        <w:pStyle w:val="berschrift2"/>
        <w:spacing w:before="0" w:after="120"/>
      </w:pPr>
      <w:bookmarkStart w:id="76" w:name="_Toc190351724"/>
      <w:r w:rsidRPr="00884895">
        <w:t>Daten zur Akkreditierung</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7"/>
      </w:tblGrid>
      <w:tr w:rsidR="00091E5E" w:rsidRPr="00884895" w14:paraId="33F35FC8" w14:textId="77777777" w:rsidTr="00650C36">
        <w:tc>
          <w:tcPr>
            <w:tcW w:w="4673" w:type="dxa"/>
          </w:tcPr>
          <w:p w14:paraId="321D3CA4" w14:textId="77777777" w:rsidR="00091E5E" w:rsidRPr="006618D8" w:rsidRDefault="007E4604" w:rsidP="00E85196">
            <w:pPr>
              <w:rPr>
                <w:sz w:val="20"/>
                <w:szCs w:val="20"/>
                <w:lang w:eastAsia="en-US"/>
              </w:rPr>
            </w:pPr>
            <w:bookmarkStart w:id="77" w:name="_Hlk32567304"/>
            <w:r w:rsidRPr="006618D8">
              <w:rPr>
                <w:sz w:val="20"/>
                <w:szCs w:val="20"/>
                <w:lang w:eastAsia="en-US"/>
              </w:rPr>
              <w:t>Vertragsschluss Hochschule – Agentur:</w:t>
            </w:r>
          </w:p>
        </w:tc>
        <w:tc>
          <w:tcPr>
            <w:tcW w:w="4387" w:type="dxa"/>
          </w:tcPr>
          <w:p w14:paraId="26AC1D79" w14:textId="77777777" w:rsidR="00091E5E" w:rsidRPr="006618D8" w:rsidRDefault="00F33389" w:rsidP="006618D8">
            <w:pPr>
              <w:rPr>
                <w:sz w:val="20"/>
                <w:szCs w:val="20"/>
                <w:lang w:eastAsia="en-US"/>
              </w:rPr>
            </w:pPr>
            <w:sdt>
              <w:sdtPr>
                <w:rPr>
                  <w:sz w:val="20"/>
                  <w:szCs w:val="20"/>
                  <w:lang w:eastAsia="en-US"/>
                </w:rPr>
                <w:id w:val="-263617456"/>
                <w:placeholder>
                  <w:docPart w:val="8324B2F41F884DBDBEBC053853602D67"/>
                </w:placeholder>
                <w:date w:fullDate="2024-05-30T00:00:00Z">
                  <w:dateFormat w:val="dd.MM.yyyy"/>
                  <w:lid w:val="de-DE"/>
                  <w:storeMappedDataAs w:val="dateTime"/>
                  <w:calendar w:val="gregorian"/>
                </w:date>
              </w:sdtPr>
              <w:sdtContent>
                <w:r w:rsidR="006618D8" w:rsidRPr="006618D8">
                  <w:rPr>
                    <w:sz w:val="20"/>
                    <w:szCs w:val="20"/>
                    <w:lang w:eastAsia="en-US"/>
                  </w:rPr>
                  <w:t>30.05.2024</w:t>
                </w:r>
              </w:sdtContent>
            </w:sdt>
          </w:p>
        </w:tc>
      </w:tr>
      <w:tr w:rsidR="007E4604" w:rsidRPr="00884895" w14:paraId="408F6F6B" w14:textId="77777777" w:rsidTr="00650C36">
        <w:tc>
          <w:tcPr>
            <w:tcW w:w="4673" w:type="dxa"/>
          </w:tcPr>
          <w:p w14:paraId="1AAE57AC" w14:textId="77777777" w:rsidR="007E4604" w:rsidRPr="006618D8" w:rsidRDefault="007E4604" w:rsidP="00E85196">
            <w:pPr>
              <w:rPr>
                <w:sz w:val="20"/>
                <w:szCs w:val="20"/>
                <w:lang w:eastAsia="en-US"/>
              </w:rPr>
            </w:pPr>
            <w:r w:rsidRPr="006618D8">
              <w:rPr>
                <w:sz w:val="20"/>
                <w:szCs w:val="20"/>
                <w:lang w:eastAsia="en-US"/>
              </w:rPr>
              <w:t>Eingang der Selbstdokumentation:</w:t>
            </w:r>
          </w:p>
        </w:tc>
        <w:tc>
          <w:tcPr>
            <w:tcW w:w="4387" w:type="dxa"/>
          </w:tcPr>
          <w:p w14:paraId="2D66170F" w14:textId="77777777" w:rsidR="007E4604" w:rsidRPr="006618D8" w:rsidRDefault="00F33389" w:rsidP="006618D8">
            <w:pPr>
              <w:rPr>
                <w:sz w:val="20"/>
                <w:szCs w:val="20"/>
                <w:lang w:eastAsia="en-US"/>
              </w:rPr>
            </w:pPr>
            <w:sdt>
              <w:sdtPr>
                <w:rPr>
                  <w:sz w:val="20"/>
                  <w:szCs w:val="20"/>
                  <w:lang w:eastAsia="en-US"/>
                </w:rPr>
                <w:id w:val="1971861200"/>
                <w:placeholder>
                  <w:docPart w:val="EBE86D028E094ED9ACEED081A748AB5C"/>
                </w:placeholder>
                <w:date w:fullDate="2024-09-02T00:00:00Z">
                  <w:dateFormat w:val="dd.MM.yyyy"/>
                  <w:lid w:val="de-DE"/>
                  <w:storeMappedDataAs w:val="dateTime"/>
                  <w:calendar w:val="gregorian"/>
                </w:date>
              </w:sdtPr>
              <w:sdtContent>
                <w:r w:rsidR="006618D8" w:rsidRPr="006618D8">
                  <w:rPr>
                    <w:sz w:val="20"/>
                    <w:szCs w:val="20"/>
                    <w:lang w:eastAsia="en-US"/>
                  </w:rPr>
                  <w:t>02.09.2024</w:t>
                </w:r>
              </w:sdtContent>
            </w:sdt>
          </w:p>
        </w:tc>
      </w:tr>
      <w:tr w:rsidR="007E4604" w:rsidRPr="00884895" w14:paraId="2671F3DE" w14:textId="77777777" w:rsidTr="00650C36">
        <w:tc>
          <w:tcPr>
            <w:tcW w:w="4673" w:type="dxa"/>
          </w:tcPr>
          <w:p w14:paraId="59B234F6" w14:textId="77777777" w:rsidR="007E4604" w:rsidRPr="006618D8" w:rsidRDefault="007E4604" w:rsidP="00E85196">
            <w:pPr>
              <w:rPr>
                <w:sz w:val="20"/>
                <w:szCs w:val="20"/>
                <w:lang w:eastAsia="en-US"/>
              </w:rPr>
            </w:pPr>
            <w:r w:rsidRPr="006618D8">
              <w:rPr>
                <w:sz w:val="20"/>
                <w:szCs w:val="20"/>
                <w:lang w:eastAsia="en-US"/>
              </w:rPr>
              <w:t>Zeitpunkt der Begehung:</w:t>
            </w:r>
          </w:p>
        </w:tc>
        <w:tc>
          <w:tcPr>
            <w:tcW w:w="4387" w:type="dxa"/>
          </w:tcPr>
          <w:p w14:paraId="24A69A16" w14:textId="77777777" w:rsidR="007E4604" w:rsidRPr="006618D8" w:rsidRDefault="00F33389" w:rsidP="006618D8">
            <w:pPr>
              <w:rPr>
                <w:sz w:val="20"/>
                <w:szCs w:val="20"/>
                <w:lang w:eastAsia="en-US"/>
              </w:rPr>
            </w:pPr>
            <w:sdt>
              <w:sdtPr>
                <w:rPr>
                  <w:sz w:val="20"/>
                  <w:szCs w:val="20"/>
                  <w:lang w:eastAsia="en-US"/>
                </w:rPr>
                <w:id w:val="-1731611143"/>
                <w:placeholder>
                  <w:docPart w:val="50A3E689CFFB49B09B383D9C481F6EDD"/>
                </w:placeholder>
                <w:date w:fullDate="2024-11-07T00:00:00Z">
                  <w:dateFormat w:val="dd.MM.yyyy"/>
                  <w:lid w:val="de-DE"/>
                  <w:storeMappedDataAs w:val="dateTime"/>
                  <w:calendar w:val="gregorian"/>
                </w:date>
              </w:sdtPr>
              <w:sdtContent>
                <w:r w:rsidR="006618D8" w:rsidRPr="006618D8">
                  <w:rPr>
                    <w:sz w:val="20"/>
                    <w:szCs w:val="20"/>
                    <w:lang w:eastAsia="en-US"/>
                  </w:rPr>
                  <w:t>07.11.2024</w:t>
                </w:r>
              </w:sdtContent>
            </w:sdt>
          </w:p>
        </w:tc>
      </w:tr>
      <w:bookmarkEnd w:id="77"/>
      <w:tr w:rsidR="002F5F87" w:rsidRPr="00884895" w14:paraId="2A7EB982" w14:textId="77777777" w:rsidTr="002F5F87">
        <w:tc>
          <w:tcPr>
            <w:tcW w:w="4673" w:type="dxa"/>
            <w:tcBorders>
              <w:top w:val="single" w:sz="4" w:space="0" w:color="auto"/>
              <w:left w:val="single" w:sz="4" w:space="0" w:color="auto"/>
              <w:bottom w:val="single" w:sz="4" w:space="0" w:color="auto"/>
              <w:right w:val="single" w:sz="4" w:space="0" w:color="auto"/>
            </w:tcBorders>
          </w:tcPr>
          <w:p w14:paraId="7CA55620" w14:textId="77777777" w:rsidR="002F5F87" w:rsidRPr="006618D8" w:rsidRDefault="002F5F87" w:rsidP="002F5F87">
            <w:pPr>
              <w:spacing w:after="120" w:line="240" w:lineRule="auto"/>
              <w:rPr>
                <w:sz w:val="20"/>
                <w:szCs w:val="20"/>
                <w:lang w:eastAsia="en-US"/>
              </w:rPr>
            </w:pPr>
            <w:r w:rsidRPr="006618D8">
              <w:rPr>
                <w:sz w:val="20"/>
                <w:szCs w:val="20"/>
                <w:lang w:eastAsia="en-US"/>
              </w:rPr>
              <w:t>Personengruppen, mit denen Gespräche geführt worden sind:</w:t>
            </w:r>
          </w:p>
        </w:tc>
        <w:tc>
          <w:tcPr>
            <w:tcW w:w="4387" w:type="dxa"/>
            <w:tcBorders>
              <w:top w:val="single" w:sz="4" w:space="0" w:color="auto"/>
              <w:left w:val="single" w:sz="4" w:space="0" w:color="auto"/>
              <w:bottom w:val="single" w:sz="4" w:space="0" w:color="auto"/>
              <w:right w:val="single" w:sz="4" w:space="0" w:color="auto"/>
            </w:tcBorders>
          </w:tcPr>
          <w:p w14:paraId="6DE5F897" w14:textId="77777777" w:rsidR="002F5F87" w:rsidRPr="006618D8" w:rsidRDefault="006618D8" w:rsidP="006618D8">
            <w:pPr>
              <w:spacing w:after="120" w:line="240" w:lineRule="auto"/>
              <w:jc w:val="left"/>
              <w:rPr>
                <w:sz w:val="20"/>
                <w:szCs w:val="20"/>
                <w:lang w:eastAsia="en-US"/>
              </w:rPr>
            </w:pPr>
            <w:r w:rsidRPr="006618D8">
              <w:rPr>
                <w:sz w:val="20"/>
                <w:szCs w:val="20"/>
                <w:lang w:eastAsia="en-US"/>
              </w:rPr>
              <w:t>Hochschulleitung, Programmverantwortliche, Lehrende, Studierende</w:t>
            </w:r>
          </w:p>
        </w:tc>
      </w:tr>
      <w:tr w:rsidR="002F5F87" w:rsidRPr="00884895" w14:paraId="68A7DC00" w14:textId="77777777" w:rsidTr="002F5F87">
        <w:tc>
          <w:tcPr>
            <w:tcW w:w="4673" w:type="dxa"/>
            <w:tcBorders>
              <w:top w:val="single" w:sz="4" w:space="0" w:color="auto"/>
              <w:left w:val="single" w:sz="4" w:space="0" w:color="auto"/>
              <w:bottom w:val="single" w:sz="4" w:space="0" w:color="auto"/>
              <w:right w:val="single" w:sz="4" w:space="0" w:color="auto"/>
            </w:tcBorders>
          </w:tcPr>
          <w:p w14:paraId="5A9F856B" w14:textId="77777777" w:rsidR="002F5F87" w:rsidRPr="006618D8" w:rsidRDefault="002F5F87" w:rsidP="002F5F87">
            <w:pPr>
              <w:spacing w:after="120" w:line="240" w:lineRule="auto"/>
              <w:rPr>
                <w:sz w:val="20"/>
                <w:szCs w:val="20"/>
                <w:lang w:eastAsia="en-US"/>
              </w:rPr>
            </w:pPr>
            <w:r w:rsidRPr="006618D8">
              <w:rPr>
                <w:sz w:val="20"/>
                <w:szCs w:val="20"/>
                <w:lang w:eastAsia="en-US"/>
              </w:rPr>
              <w:t>An räumlicher und sächlicher Ausstattung wurde besichtigt (optional, sofern fachlich angezeigt):</w:t>
            </w:r>
          </w:p>
        </w:tc>
        <w:tc>
          <w:tcPr>
            <w:tcW w:w="4387" w:type="dxa"/>
            <w:tcBorders>
              <w:top w:val="single" w:sz="4" w:space="0" w:color="auto"/>
              <w:left w:val="single" w:sz="4" w:space="0" w:color="auto"/>
              <w:bottom w:val="single" w:sz="4" w:space="0" w:color="auto"/>
              <w:right w:val="single" w:sz="4" w:space="0" w:color="auto"/>
            </w:tcBorders>
          </w:tcPr>
          <w:p w14:paraId="34CE47DE" w14:textId="77777777" w:rsidR="002F5F87" w:rsidRPr="006618D8" w:rsidRDefault="006618D8" w:rsidP="002F5F87">
            <w:pPr>
              <w:spacing w:after="120" w:line="240" w:lineRule="auto"/>
              <w:rPr>
                <w:sz w:val="20"/>
                <w:szCs w:val="20"/>
                <w:lang w:eastAsia="en-US"/>
              </w:rPr>
            </w:pPr>
            <w:r w:rsidRPr="006618D8">
              <w:rPr>
                <w:sz w:val="20"/>
                <w:szCs w:val="20"/>
                <w:lang w:eastAsia="en-US"/>
              </w:rPr>
              <w:t>Labore, Lehrräume</w:t>
            </w:r>
          </w:p>
        </w:tc>
      </w:tr>
    </w:tbl>
    <w:p w14:paraId="0AAFC95D" w14:textId="77777777" w:rsidR="001848CC" w:rsidRDefault="001848CC" w:rsidP="000E2963">
      <w:pPr>
        <w:spacing w:before="0" w:after="120"/>
        <w:rPr>
          <w:lang w:eastAsia="en-US"/>
        </w:rPr>
      </w:pPr>
    </w:p>
    <w:p w14:paraId="14CCB4B4" w14:textId="77777777" w:rsidR="001848CC" w:rsidRDefault="001848CC">
      <w:pPr>
        <w:spacing w:before="0" w:line="240" w:lineRule="auto"/>
        <w:jc w:val="left"/>
        <w:rPr>
          <w:lang w:eastAsia="en-US"/>
        </w:rPr>
      </w:pPr>
      <w:r>
        <w:rPr>
          <w:lang w:eastAsia="en-US"/>
        </w:rPr>
        <w:br w:type="page"/>
      </w:r>
    </w:p>
    <w:p w14:paraId="0C3D0E8C" w14:textId="77777777" w:rsidR="00091E5E" w:rsidRPr="00884895" w:rsidRDefault="00091E5E" w:rsidP="000E2963">
      <w:pPr>
        <w:pStyle w:val="berschrift1"/>
        <w:spacing w:before="0" w:after="120"/>
      </w:pPr>
      <w:bookmarkStart w:id="78" w:name="_Toc190351725"/>
      <w:r w:rsidRPr="00884895">
        <w:lastRenderedPageBreak/>
        <w:t>Glossar</w:t>
      </w:r>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5689"/>
      </w:tblGrid>
      <w:tr w:rsidR="00091E5E" w:rsidRPr="00884895" w14:paraId="314849A7" w14:textId="77777777" w:rsidTr="006216B9">
        <w:tc>
          <w:tcPr>
            <w:tcW w:w="3655" w:type="dxa"/>
          </w:tcPr>
          <w:p w14:paraId="1D63CA55" w14:textId="77777777" w:rsidR="00091E5E" w:rsidRPr="00884895" w:rsidRDefault="00091E5E" w:rsidP="00513CD3">
            <w:pPr>
              <w:rPr>
                <w:sz w:val="20"/>
                <w:szCs w:val="20"/>
                <w:lang w:eastAsia="en-US"/>
              </w:rPr>
            </w:pPr>
            <w:bookmarkStart w:id="79" w:name="_Hlk504556697"/>
            <w:r w:rsidRPr="00884895">
              <w:rPr>
                <w:sz w:val="20"/>
                <w:szCs w:val="20"/>
                <w:lang w:eastAsia="en-US"/>
              </w:rPr>
              <w:t>Akkreditierungsbericht</w:t>
            </w:r>
          </w:p>
        </w:tc>
        <w:tc>
          <w:tcPr>
            <w:tcW w:w="5689" w:type="dxa"/>
          </w:tcPr>
          <w:p w14:paraId="1855DE92" w14:textId="77777777" w:rsidR="00091E5E" w:rsidRPr="00884895" w:rsidRDefault="00091E5E" w:rsidP="00513CD3">
            <w:pPr>
              <w:rPr>
                <w:sz w:val="20"/>
                <w:szCs w:val="20"/>
                <w:lang w:eastAsia="en-US"/>
              </w:rPr>
            </w:pPr>
            <w:r w:rsidRPr="00884895">
              <w:rPr>
                <w:sz w:val="20"/>
                <w:szCs w:val="20"/>
                <w:lang w:eastAsia="en-US"/>
              </w:rPr>
              <w:t xml:space="preserve">Der Akkreditierungsbericht besteht aus dem </w:t>
            </w:r>
            <w:r w:rsidR="009B4EF5" w:rsidRPr="00884895">
              <w:rPr>
                <w:sz w:val="20"/>
                <w:szCs w:val="20"/>
                <w:lang w:eastAsia="en-US"/>
              </w:rPr>
              <w:t xml:space="preserve">von der Agentur erstellten </w:t>
            </w:r>
            <w:r w:rsidR="009B4EF5">
              <w:rPr>
                <w:sz w:val="20"/>
                <w:szCs w:val="20"/>
                <w:lang w:eastAsia="en-US"/>
              </w:rPr>
              <w:t>Prüfbericht</w:t>
            </w:r>
            <w:r w:rsidR="009B4EF5" w:rsidRPr="00884895">
              <w:rPr>
                <w:sz w:val="20"/>
                <w:szCs w:val="20"/>
                <w:lang w:eastAsia="en-US"/>
              </w:rPr>
              <w:t xml:space="preserve"> </w:t>
            </w:r>
            <w:r w:rsidR="009B4EF5">
              <w:rPr>
                <w:sz w:val="20"/>
                <w:szCs w:val="20"/>
                <w:lang w:eastAsia="en-US"/>
              </w:rPr>
              <w:t xml:space="preserve">(zur Erfüllung der formalen Kriterien) und dem </w:t>
            </w:r>
            <w:r w:rsidRPr="00884895">
              <w:rPr>
                <w:sz w:val="20"/>
                <w:szCs w:val="20"/>
                <w:lang w:eastAsia="en-US"/>
              </w:rPr>
              <w:t>von de</w:t>
            </w:r>
            <w:r w:rsidR="009B4EF5">
              <w:rPr>
                <w:sz w:val="20"/>
                <w:szCs w:val="20"/>
                <w:lang w:eastAsia="en-US"/>
              </w:rPr>
              <w:t>m Gutachtergremium</w:t>
            </w:r>
            <w:r w:rsidRPr="00884895">
              <w:rPr>
                <w:sz w:val="20"/>
                <w:szCs w:val="20"/>
                <w:lang w:eastAsia="en-US"/>
              </w:rPr>
              <w:t xml:space="preserve"> erstellten Gutachten </w:t>
            </w:r>
            <w:r w:rsidR="009B4EF5">
              <w:rPr>
                <w:sz w:val="20"/>
                <w:szCs w:val="20"/>
                <w:lang w:eastAsia="en-US"/>
              </w:rPr>
              <w:t>(zur Erfüllung der fachlich-inhaltlichen Kriterien).</w:t>
            </w:r>
          </w:p>
        </w:tc>
      </w:tr>
      <w:tr w:rsidR="00091E5E" w:rsidRPr="00974B05" w14:paraId="3F50C923" w14:textId="77777777" w:rsidTr="006216B9">
        <w:tc>
          <w:tcPr>
            <w:tcW w:w="3655" w:type="dxa"/>
          </w:tcPr>
          <w:p w14:paraId="3D3E5180" w14:textId="77777777" w:rsidR="00091E5E" w:rsidRPr="00974B05" w:rsidRDefault="00091E5E" w:rsidP="00513CD3">
            <w:pPr>
              <w:rPr>
                <w:sz w:val="20"/>
                <w:szCs w:val="20"/>
                <w:lang w:eastAsia="en-US"/>
              </w:rPr>
            </w:pPr>
            <w:r w:rsidRPr="00974B05">
              <w:rPr>
                <w:sz w:val="20"/>
                <w:szCs w:val="20"/>
                <w:lang w:eastAsia="en-US"/>
              </w:rPr>
              <w:t>Akkreditierungsverfahren</w:t>
            </w:r>
          </w:p>
        </w:tc>
        <w:tc>
          <w:tcPr>
            <w:tcW w:w="5689" w:type="dxa"/>
          </w:tcPr>
          <w:p w14:paraId="1AC9806E" w14:textId="77777777" w:rsidR="00091E5E" w:rsidRPr="00974B05" w:rsidRDefault="00091E5E" w:rsidP="00513CD3">
            <w:pPr>
              <w:rPr>
                <w:sz w:val="20"/>
                <w:szCs w:val="20"/>
                <w:lang w:eastAsia="en-US"/>
              </w:rPr>
            </w:pPr>
            <w:r w:rsidRPr="00974B05">
              <w:rPr>
                <w:sz w:val="20"/>
                <w:szCs w:val="20"/>
                <w:lang w:eastAsia="en-US"/>
              </w:rPr>
              <w:t>Das gesamte Verfahren von der Antragstellung der Hochschule bei der Agentur bis zur Entscheidung durch den Akkreditierungsrat (Begutachtungsverfahren + Antragsverfahren)</w:t>
            </w:r>
          </w:p>
        </w:tc>
      </w:tr>
      <w:tr w:rsidR="00091E5E" w:rsidRPr="00974B05" w14:paraId="4F4A28C6" w14:textId="77777777" w:rsidTr="006216B9">
        <w:tc>
          <w:tcPr>
            <w:tcW w:w="3655" w:type="dxa"/>
          </w:tcPr>
          <w:p w14:paraId="19412101" w14:textId="77777777" w:rsidR="00091E5E" w:rsidRPr="00974B05" w:rsidRDefault="00091E5E" w:rsidP="00744B21">
            <w:pPr>
              <w:rPr>
                <w:sz w:val="20"/>
                <w:szCs w:val="20"/>
                <w:lang w:eastAsia="en-US"/>
              </w:rPr>
            </w:pPr>
            <w:r w:rsidRPr="00974B05">
              <w:rPr>
                <w:sz w:val="20"/>
                <w:szCs w:val="20"/>
                <w:lang w:eastAsia="en-US"/>
              </w:rPr>
              <w:t>Antragsverfahren</w:t>
            </w:r>
          </w:p>
          <w:p w14:paraId="729BDC4E" w14:textId="77777777" w:rsidR="00091E5E" w:rsidRPr="00974B05" w:rsidRDefault="00091E5E" w:rsidP="00744B21">
            <w:pPr>
              <w:rPr>
                <w:sz w:val="20"/>
                <w:szCs w:val="20"/>
                <w:lang w:eastAsia="en-US"/>
              </w:rPr>
            </w:pPr>
          </w:p>
        </w:tc>
        <w:tc>
          <w:tcPr>
            <w:tcW w:w="5689" w:type="dxa"/>
          </w:tcPr>
          <w:p w14:paraId="605F9E56" w14:textId="77777777" w:rsidR="00091E5E" w:rsidRPr="00974B05" w:rsidRDefault="006216B9" w:rsidP="00744B21">
            <w:pPr>
              <w:rPr>
                <w:sz w:val="20"/>
                <w:szCs w:val="20"/>
                <w:lang w:eastAsia="en-US"/>
              </w:rPr>
            </w:pPr>
            <w:r>
              <w:rPr>
                <w:sz w:val="20"/>
                <w:szCs w:val="20"/>
                <w:lang w:eastAsia="en-US"/>
              </w:rPr>
              <w:t>V</w:t>
            </w:r>
            <w:r w:rsidR="00091E5E" w:rsidRPr="00974B05">
              <w:rPr>
                <w:sz w:val="20"/>
                <w:szCs w:val="20"/>
                <w:lang w:eastAsia="en-US"/>
              </w:rPr>
              <w:t>erfahren von der Antragstellung der Hochschule beim Akkreditierungsrat bis zur Beschlussfassung durch den Akkreditierungsrat</w:t>
            </w:r>
          </w:p>
        </w:tc>
      </w:tr>
      <w:tr w:rsidR="00091E5E" w:rsidRPr="00884895" w14:paraId="2EFF227F" w14:textId="77777777" w:rsidTr="006216B9">
        <w:tc>
          <w:tcPr>
            <w:tcW w:w="3655" w:type="dxa"/>
          </w:tcPr>
          <w:p w14:paraId="6B0B2478" w14:textId="77777777" w:rsidR="00091E5E" w:rsidRPr="00974B05" w:rsidRDefault="00091E5E" w:rsidP="00744B21">
            <w:pPr>
              <w:rPr>
                <w:sz w:val="20"/>
                <w:szCs w:val="20"/>
                <w:lang w:eastAsia="en-US"/>
              </w:rPr>
            </w:pPr>
            <w:r w:rsidRPr="00974B05">
              <w:rPr>
                <w:sz w:val="20"/>
                <w:szCs w:val="20"/>
                <w:lang w:eastAsia="en-US"/>
              </w:rPr>
              <w:t>Begutachtungsverfahren</w:t>
            </w:r>
          </w:p>
        </w:tc>
        <w:tc>
          <w:tcPr>
            <w:tcW w:w="5689" w:type="dxa"/>
          </w:tcPr>
          <w:p w14:paraId="2583090E" w14:textId="77777777" w:rsidR="00091E5E" w:rsidRPr="00884895" w:rsidRDefault="00091E5E" w:rsidP="00744B21">
            <w:pPr>
              <w:rPr>
                <w:sz w:val="20"/>
                <w:szCs w:val="20"/>
                <w:lang w:eastAsia="en-US"/>
              </w:rPr>
            </w:pPr>
            <w:r w:rsidRPr="00974B05">
              <w:rPr>
                <w:sz w:val="20"/>
                <w:szCs w:val="20"/>
                <w:lang w:eastAsia="en-US"/>
              </w:rPr>
              <w:t>Verfahren von der Antragstellung der Hochschule bei einer Agentur bis zur Erstellung des fertigen Akkreditierungsberichts</w:t>
            </w:r>
          </w:p>
        </w:tc>
      </w:tr>
      <w:tr w:rsidR="00091E5E" w:rsidRPr="00884895" w14:paraId="29EFE13D" w14:textId="77777777" w:rsidTr="006216B9">
        <w:tc>
          <w:tcPr>
            <w:tcW w:w="3655" w:type="dxa"/>
          </w:tcPr>
          <w:p w14:paraId="0CDB35C3" w14:textId="77777777" w:rsidR="00091E5E" w:rsidRPr="00884895" w:rsidRDefault="00091E5E" w:rsidP="00513CD3">
            <w:pPr>
              <w:rPr>
                <w:sz w:val="20"/>
                <w:szCs w:val="20"/>
                <w:lang w:eastAsia="en-US"/>
              </w:rPr>
            </w:pPr>
            <w:r w:rsidRPr="00884895">
              <w:rPr>
                <w:sz w:val="20"/>
                <w:szCs w:val="20"/>
                <w:lang w:eastAsia="en-US"/>
              </w:rPr>
              <w:t>Gutachten</w:t>
            </w:r>
          </w:p>
        </w:tc>
        <w:tc>
          <w:tcPr>
            <w:tcW w:w="5689" w:type="dxa"/>
          </w:tcPr>
          <w:p w14:paraId="50AA223A" w14:textId="77777777" w:rsidR="00091E5E" w:rsidRPr="00884895" w:rsidRDefault="00091E5E" w:rsidP="00513CD3">
            <w:pPr>
              <w:rPr>
                <w:sz w:val="20"/>
                <w:szCs w:val="20"/>
                <w:lang w:eastAsia="en-US"/>
              </w:rPr>
            </w:pPr>
            <w:r w:rsidRPr="00884895">
              <w:rPr>
                <w:sz w:val="20"/>
                <w:szCs w:val="20"/>
                <w:lang w:eastAsia="en-US"/>
              </w:rPr>
              <w:t>Das Gutachten wird von der Gutachtergruppe erstellt und bewertet die Erfüllung der fachlich-inhaltlichen Kriterien</w:t>
            </w:r>
          </w:p>
        </w:tc>
      </w:tr>
      <w:tr w:rsidR="00091E5E" w:rsidRPr="00884895" w14:paraId="09226238" w14:textId="77777777" w:rsidTr="006216B9">
        <w:tc>
          <w:tcPr>
            <w:tcW w:w="3655" w:type="dxa"/>
          </w:tcPr>
          <w:p w14:paraId="72A0B6A7" w14:textId="77777777" w:rsidR="00091E5E" w:rsidRPr="00884895" w:rsidRDefault="00091E5E" w:rsidP="00513CD3">
            <w:pPr>
              <w:rPr>
                <w:sz w:val="20"/>
                <w:szCs w:val="20"/>
                <w:lang w:eastAsia="en-US"/>
              </w:rPr>
            </w:pPr>
            <w:r w:rsidRPr="00884895">
              <w:rPr>
                <w:sz w:val="20"/>
                <w:szCs w:val="20"/>
                <w:lang w:eastAsia="en-US"/>
              </w:rPr>
              <w:t>Internes Akkreditierungsverfahren</w:t>
            </w:r>
          </w:p>
        </w:tc>
        <w:tc>
          <w:tcPr>
            <w:tcW w:w="5689" w:type="dxa"/>
          </w:tcPr>
          <w:p w14:paraId="1A8C082D" w14:textId="77777777" w:rsidR="00091E5E" w:rsidRPr="00884895" w:rsidRDefault="00091E5E" w:rsidP="00513CD3">
            <w:pPr>
              <w:rPr>
                <w:sz w:val="20"/>
                <w:szCs w:val="20"/>
                <w:lang w:eastAsia="en-US"/>
              </w:rPr>
            </w:pPr>
            <w:r w:rsidRPr="00884895">
              <w:rPr>
                <w:sz w:val="20"/>
                <w:szCs w:val="20"/>
                <w:lang w:eastAsia="en-US"/>
              </w:rPr>
              <w:t xml:space="preserve">Hochschulinternes Verfahren, in dem die Erfüllung der formalen und fachlich-inhaltlichen Kriterien auf </w:t>
            </w:r>
            <w:proofErr w:type="spellStart"/>
            <w:r w:rsidRPr="00884895">
              <w:rPr>
                <w:sz w:val="20"/>
                <w:szCs w:val="20"/>
                <w:lang w:eastAsia="en-US"/>
              </w:rPr>
              <w:t>Studiengangsebene</w:t>
            </w:r>
            <w:proofErr w:type="spellEnd"/>
            <w:r w:rsidRPr="00884895">
              <w:rPr>
                <w:sz w:val="20"/>
                <w:szCs w:val="20"/>
                <w:lang w:eastAsia="en-US"/>
              </w:rPr>
              <w:t xml:space="preserve"> durch eine systemakkreditierte Hochschule überprüft wird.</w:t>
            </w:r>
          </w:p>
        </w:tc>
      </w:tr>
      <w:tr w:rsidR="001370A9" w:rsidRPr="00884895" w14:paraId="3851EB6F" w14:textId="77777777" w:rsidTr="006216B9">
        <w:tc>
          <w:tcPr>
            <w:tcW w:w="3655" w:type="dxa"/>
          </w:tcPr>
          <w:p w14:paraId="071EB6D8" w14:textId="77777777" w:rsidR="001370A9" w:rsidRPr="00884895" w:rsidRDefault="00BD500A" w:rsidP="00513CD3">
            <w:pPr>
              <w:rPr>
                <w:sz w:val="20"/>
                <w:szCs w:val="20"/>
                <w:lang w:eastAsia="en-US"/>
              </w:rPr>
            </w:pPr>
            <w:proofErr w:type="spellStart"/>
            <w:r>
              <w:rPr>
                <w:sz w:val="20"/>
                <w:szCs w:val="20"/>
                <w:lang w:eastAsia="en-US"/>
              </w:rPr>
              <w:t>StudAkkV</w:t>
            </w:r>
            <w:proofErr w:type="spellEnd"/>
          </w:p>
        </w:tc>
        <w:tc>
          <w:tcPr>
            <w:tcW w:w="5689" w:type="dxa"/>
          </w:tcPr>
          <w:p w14:paraId="40592E4C" w14:textId="77777777" w:rsidR="001370A9" w:rsidRPr="00884895" w:rsidRDefault="001370A9" w:rsidP="00513CD3">
            <w:pPr>
              <w:rPr>
                <w:sz w:val="20"/>
                <w:szCs w:val="20"/>
                <w:lang w:eastAsia="en-US"/>
              </w:rPr>
            </w:pPr>
            <w:r>
              <w:rPr>
                <w:sz w:val="20"/>
                <w:szCs w:val="20"/>
                <w:lang w:eastAsia="en-US"/>
              </w:rPr>
              <w:t>Musterrechtsverordnung</w:t>
            </w:r>
          </w:p>
        </w:tc>
      </w:tr>
      <w:tr w:rsidR="00091E5E" w14:paraId="20DC4F27" w14:textId="77777777" w:rsidTr="006216B9">
        <w:tc>
          <w:tcPr>
            <w:tcW w:w="3655" w:type="dxa"/>
          </w:tcPr>
          <w:p w14:paraId="39C1C24A" w14:textId="77777777" w:rsidR="00091E5E" w:rsidRPr="00884895" w:rsidRDefault="00091E5E" w:rsidP="00513CD3">
            <w:pPr>
              <w:rPr>
                <w:sz w:val="20"/>
                <w:szCs w:val="20"/>
                <w:lang w:eastAsia="en-US"/>
              </w:rPr>
            </w:pPr>
            <w:r w:rsidRPr="00884895">
              <w:rPr>
                <w:sz w:val="20"/>
                <w:szCs w:val="20"/>
                <w:lang w:eastAsia="en-US"/>
              </w:rPr>
              <w:t>Prüfbericht</w:t>
            </w:r>
          </w:p>
        </w:tc>
        <w:tc>
          <w:tcPr>
            <w:tcW w:w="5689" w:type="dxa"/>
          </w:tcPr>
          <w:p w14:paraId="594756DD" w14:textId="77777777" w:rsidR="00091E5E" w:rsidRPr="000D5AB9" w:rsidRDefault="00091E5E" w:rsidP="00513CD3">
            <w:pPr>
              <w:rPr>
                <w:sz w:val="20"/>
                <w:szCs w:val="20"/>
                <w:lang w:eastAsia="en-US"/>
              </w:rPr>
            </w:pPr>
            <w:r w:rsidRPr="00884895">
              <w:rPr>
                <w:sz w:val="20"/>
                <w:szCs w:val="20"/>
                <w:lang w:eastAsia="en-US"/>
              </w:rPr>
              <w:t>Der Prüfbericht wird von der Agentur erstellt und bewertet die Erfüllung der formalen Kriterien</w:t>
            </w:r>
          </w:p>
        </w:tc>
      </w:tr>
      <w:tr w:rsidR="008D3686" w14:paraId="6EB3EDF2" w14:textId="77777777" w:rsidTr="006216B9">
        <w:tc>
          <w:tcPr>
            <w:tcW w:w="3655" w:type="dxa"/>
          </w:tcPr>
          <w:p w14:paraId="3ED5501A" w14:textId="77777777" w:rsidR="008D3686" w:rsidRPr="00884895" w:rsidRDefault="008D3686" w:rsidP="00513CD3">
            <w:pPr>
              <w:rPr>
                <w:sz w:val="20"/>
                <w:szCs w:val="20"/>
                <w:lang w:eastAsia="en-US"/>
              </w:rPr>
            </w:pPr>
            <w:proofErr w:type="spellStart"/>
            <w:r>
              <w:rPr>
                <w:sz w:val="20"/>
                <w:szCs w:val="20"/>
                <w:lang w:eastAsia="en-US"/>
              </w:rPr>
              <w:t>Reakkreditierung</w:t>
            </w:r>
            <w:proofErr w:type="spellEnd"/>
          </w:p>
        </w:tc>
        <w:tc>
          <w:tcPr>
            <w:tcW w:w="5689" w:type="dxa"/>
          </w:tcPr>
          <w:p w14:paraId="186ED37C" w14:textId="77777777" w:rsidR="008D3686" w:rsidRPr="00884895" w:rsidRDefault="008D3686" w:rsidP="00513CD3">
            <w:pPr>
              <w:rPr>
                <w:sz w:val="20"/>
                <w:szCs w:val="20"/>
                <w:lang w:eastAsia="en-US"/>
              </w:rPr>
            </w:pPr>
            <w:r>
              <w:rPr>
                <w:sz w:val="20"/>
                <w:szCs w:val="20"/>
                <w:lang w:eastAsia="en-US"/>
              </w:rPr>
              <w:t xml:space="preserve">Erneute Akkreditierung, die auf eine vorangegangene Erst- oder </w:t>
            </w:r>
            <w:proofErr w:type="spellStart"/>
            <w:r>
              <w:rPr>
                <w:sz w:val="20"/>
                <w:szCs w:val="20"/>
                <w:lang w:eastAsia="en-US"/>
              </w:rPr>
              <w:t>Reakkreditierung</w:t>
            </w:r>
            <w:proofErr w:type="spellEnd"/>
            <w:r>
              <w:rPr>
                <w:sz w:val="20"/>
                <w:szCs w:val="20"/>
                <w:lang w:eastAsia="en-US"/>
              </w:rPr>
              <w:t xml:space="preserve"> folgt.</w:t>
            </w:r>
          </w:p>
        </w:tc>
      </w:tr>
      <w:tr w:rsidR="00091E5E" w14:paraId="0103E4D6" w14:textId="77777777" w:rsidTr="006216B9">
        <w:tc>
          <w:tcPr>
            <w:tcW w:w="3655" w:type="dxa"/>
          </w:tcPr>
          <w:p w14:paraId="07BC5C12" w14:textId="77777777" w:rsidR="00091E5E" w:rsidRPr="000D5AB9" w:rsidRDefault="00182C92" w:rsidP="00513CD3">
            <w:pPr>
              <w:rPr>
                <w:sz w:val="20"/>
                <w:szCs w:val="20"/>
                <w:lang w:eastAsia="en-US"/>
              </w:rPr>
            </w:pPr>
            <w:proofErr w:type="spellStart"/>
            <w:r w:rsidRPr="00182C92">
              <w:rPr>
                <w:sz w:val="20"/>
                <w:szCs w:val="20"/>
                <w:lang w:eastAsia="en-US"/>
              </w:rPr>
              <w:t>StAkkrStV</w:t>
            </w:r>
            <w:proofErr w:type="spellEnd"/>
          </w:p>
        </w:tc>
        <w:tc>
          <w:tcPr>
            <w:tcW w:w="5689" w:type="dxa"/>
          </w:tcPr>
          <w:p w14:paraId="6024DB74" w14:textId="77777777" w:rsidR="00091E5E" w:rsidRPr="000D5AB9" w:rsidRDefault="001370A9" w:rsidP="00513CD3">
            <w:pPr>
              <w:rPr>
                <w:sz w:val="20"/>
                <w:szCs w:val="20"/>
                <w:lang w:eastAsia="en-US"/>
              </w:rPr>
            </w:pPr>
            <w:r>
              <w:rPr>
                <w:sz w:val="20"/>
                <w:szCs w:val="20"/>
                <w:lang w:eastAsia="en-US"/>
              </w:rPr>
              <w:t>Studienakkreditierungsstaatsvertrag</w:t>
            </w:r>
          </w:p>
        </w:tc>
      </w:tr>
      <w:tr w:rsidR="00091E5E" w14:paraId="548D6BF5" w14:textId="77777777" w:rsidTr="006216B9">
        <w:tc>
          <w:tcPr>
            <w:tcW w:w="3655" w:type="dxa"/>
          </w:tcPr>
          <w:p w14:paraId="0D6E843E" w14:textId="77777777" w:rsidR="00091E5E" w:rsidRPr="000D5AB9" w:rsidRDefault="00091E5E" w:rsidP="00513CD3">
            <w:pPr>
              <w:rPr>
                <w:sz w:val="20"/>
                <w:szCs w:val="20"/>
                <w:lang w:eastAsia="en-US"/>
              </w:rPr>
            </w:pPr>
          </w:p>
        </w:tc>
        <w:tc>
          <w:tcPr>
            <w:tcW w:w="5689" w:type="dxa"/>
          </w:tcPr>
          <w:p w14:paraId="63D3EF3A" w14:textId="77777777" w:rsidR="00091E5E" w:rsidRPr="000D5AB9" w:rsidRDefault="00091E5E" w:rsidP="00513CD3">
            <w:pPr>
              <w:rPr>
                <w:sz w:val="20"/>
                <w:szCs w:val="20"/>
                <w:lang w:eastAsia="en-US"/>
              </w:rPr>
            </w:pPr>
          </w:p>
        </w:tc>
      </w:tr>
      <w:bookmarkEnd w:id="79"/>
    </w:tbl>
    <w:p w14:paraId="50737D1B" w14:textId="77777777" w:rsidR="00091E5E" w:rsidRDefault="00091E5E" w:rsidP="00513CD3">
      <w:pPr>
        <w:rPr>
          <w:lang w:eastAsia="en-US"/>
        </w:rPr>
      </w:pPr>
    </w:p>
    <w:p w14:paraId="79934C3F" w14:textId="77777777" w:rsidR="00B44433" w:rsidRDefault="00B44433" w:rsidP="00513CD3">
      <w:pPr>
        <w:rPr>
          <w:lang w:eastAsia="en-US"/>
        </w:rPr>
      </w:pPr>
    </w:p>
    <w:p w14:paraId="22E10C1E" w14:textId="77777777" w:rsidR="00B44433" w:rsidRDefault="00B44433" w:rsidP="00513CD3">
      <w:pPr>
        <w:rPr>
          <w:lang w:eastAsia="en-US"/>
        </w:rPr>
      </w:pPr>
    </w:p>
    <w:p w14:paraId="2E9A9EDC" w14:textId="77777777" w:rsidR="00B44433" w:rsidRDefault="00B44433" w:rsidP="00513CD3">
      <w:pPr>
        <w:rPr>
          <w:lang w:eastAsia="en-US"/>
        </w:rPr>
      </w:pPr>
    </w:p>
    <w:p w14:paraId="7CCD2E17" w14:textId="77777777" w:rsidR="00B44433" w:rsidRDefault="00B44433" w:rsidP="00513CD3">
      <w:pPr>
        <w:rPr>
          <w:lang w:eastAsia="en-US"/>
        </w:rPr>
      </w:pPr>
    </w:p>
    <w:p w14:paraId="666E3631" w14:textId="77777777" w:rsidR="00B44433" w:rsidRDefault="00B44433" w:rsidP="00513CD3">
      <w:pPr>
        <w:rPr>
          <w:lang w:eastAsia="en-US"/>
        </w:rPr>
      </w:pPr>
    </w:p>
    <w:p w14:paraId="2D21F029" w14:textId="77777777" w:rsidR="00B44433" w:rsidRDefault="00B44433" w:rsidP="00513CD3">
      <w:pPr>
        <w:rPr>
          <w:lang w:eastAsia="en-US"/>
        </w:rPr>
      </w:pPr>
    </w:p>
    <w:p w14:paraId="0A072020" w14:textId="77777777" w:rsidR="00B44433" w:rsidRDefault="00B44433" w:rsidP="00B44433">
      <w:pPr>
        <w:pStyle w:val="berschrift1"/>
      </w:pPr>
      <w:bookmarkStart w:id="80" w:name="_Toc190351726"/>
      <w:r>
        <w:lastRenderedPageBreak/>
        <w:t>Anhang: Studienverlaufsplan</w:t>
      </w:r>
      <w:bookmarkEnd w:id="80"/>
    </w:p>
    <w:p w14:paraId="4E682D30" w14:textId="77777777" w:rsidR="006618D8" w:rsidRPr="006618D8" w:rsidRDefault="006618D8" w:rsidP="006618D8">
      <w:pPr>
        <w:rPr>
          <w:lang w:eastAsia="en-US"/>
        </w:rPr>
      </w:pPr>
    </w:p>
    <w:p w14:paraId="0D9A61CF" w14:textId="77777777" w:rsidR="006618D8" w:rsidRDefault="006618D8" w:rsidP="006618D8">
      <w:pPr>
        <w:pStyle w:val="StandardWeb"/>
      </w:pPr>
      <w:r>
        <w:rPr>
          <w:noProof/>
        </w:rPr>
        <w:drawing>
          <wp:inline distT="0" distB="0" distL="0" distR="0" wp14:anchorId="2EDD27F9" wp14:editId="755355F8">
            <wp:extent cx="6067425" cy="4938601"/>
            <wp:effectExtent l="0" t="0" r="0" b="0"/>
            <wp:docPr id="9" name="Grafik 9" descr="C:\Users\petracenko\AppData\Local\Microsoft\Windows\INetCache\Content.Outlook\RCJUUTH1\SnipToolPlusImg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etracenko\AppData\Local\Microsoft\Windows\INetCache\Content.Outlook\RCJUUTH1\SnipToolPlusImg (00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1852" cy="4966623"/>
                    </a:xfrm>
                    <a:prstGeom prst="rect">
                      <a:avLst/>
                    </a:prstGeom>
                    <a:noFill/>
                    <a:ln>
                      <a:noFill/>
                    </a:ln>
                  </pic:spPr>
                </pic:pic>
              </a:graphicData>
            </a:graphic>
          </wp:inline>
        </w:drawing>
      </w:r>
    </w:p>
    <w:p w14:paraId="76A6EDBB" w14:textId="77777777" w:rsidR="00B44433" w:rsidRDefault="00B44433" w:rsidP="00513CD3">
      <w:pPr>
        <w:rPr>
          <w:lang w:eastAsia="en-US"/>
        </w:rPr>
      </w:pPr>
    </w:p>
    <w:p w14:paraId="7CFB0D3A" w14:textId="77777777" w:rsidR="006618D8" w:rsidRDefault="006618D8" w:rsidP="006618D8">
      <w:pPr>
        <w:pStyle w:val="StandardWeb"/>
      </w:pPr>
      <w:r>
        <w:rPr>
          <w:noProof/>
        </w:rPr>
        <w:lastRenderedPageBreak/>
        <w:drawing>
          <wp:inline distT="0" distB="0" distL="0" distR="0" wp14:anchorId="1915F51F" wp14:editId="7A695AA2">
            <wp:extent cx="5591175" cy="5105929"/>
            <wp:effectExtent l="0" t="0" r="0" b="0"/>
            <wp:docPr id="10" name="Grafik 10" descr="C:\Users\petracenko\AppData\Local\Microsoft\Windows\INetCache\Content.Outlook\RCJUUTH1\SnipToolPlusImg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etracenko\AppData\Local\Microsoft\Windows\INetCache\Content.Outlook\RCJUUTH1\SnipToolPlusImg (0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9110" cy="5140572"/>
                    </a:xfrm>
                    <a:prstGeom prst="rect">
                      <a:avLst/>
                    </a:prstGeom>
                    <a:noFill/>
                    <a:ln>
                      <a:noFill/>
                    </a:ln>
                  </pic:spPr>
                </pic:pic>
              </a:graphicData>
            </a:graphic>
          </wp:inline>
        </w:drawing>
      </w:r>
    </w:p>
    <w:p w14:paraId="4637524C" w14:textId="77777777" w:rsidR="006618D8" w:rsidRDefault="006618D8" w:rsidP="00513CD3">
      <w:pPr>
        <w:rPr>
          <w:lang w:eastAsia="en-US"/>
        </w:rPr>
      </w:pPr>
      <w:r>
        <w:rPr>
          <w:noProof/>
        </w:rPr>
        <w:drawing>
          <wp:inline distT="0" distB="0" distL="0" distR="0" wp14:anchorId="36C6F7C8" wp14:editId="0A1C821C">
            <wp:extent cx="5829300" cy="3579788"/>
            <wp:effectExtent l="0" t="0" r="0" b="1905"/>
            <wp:docPr id="8" name="Grafik 8" descr="C:\Users\petracenko\AppData\Local\Microsoft\Windows\INetCache\Content.Outlook\RCJUUTH1\SnipToolPlus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etracenko\AppData\Local\Microsoft\Windows\INetCache\Content.Outlook\RCJUUTH1\SnipToolPlusIm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5334" cy="3589635"/>
                    </a:xfrm>
                    <a:prstGeom prst="rect">
                      <a:avLst/>
                    </a:prstGeom>
                    <a:noFill/>
                    <a:ln>
                      <a:noFill/>
                    </a:ln>
                  </pic:spPr>
                </pic:pic>
              </a:graphicData>
            </a:graphic>
          </wp:inline>
        </w:drawing>
      </w:r>
    </w:p>
    <w:sectPr w:rsidR="006618D8" w:rsidSect="00B46F88">
      <w:headerReference w:type="default" r:id="rId16"/>
      <w:footerReference w:type="default" r:id="rId17"/>
      <w:pgSz w:w="11906" w:h="16838" w:code="9"/>
      <w:pgMar w:top="1701" w:right="1134" w:bottom="1134" w:left="1418"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7" w:author="Paulina Petracenko" w:date="2025-02-05T12:43:00Z" w:initials="PP">
    <w:p w14:paraId="6F082159" w14:textId="05E9BDE5" w:rsidR="00F33389" w:rsidRDefault="00F33389">
      <w:pPr>
        <w:pStyle w:val="Kommentartext"/>
      </w:pPr>
      <w:r>
        <w:rPr>
          <w:rStyle w:val="Kommentarzeichen"/>
        </w:rPr>
        <w:annotationRef/>
      </w:r>
      <w:r>
        <w:t>Bitte an BTU Namen der israelischen HS einzufügen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0821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D39B4B" w16cex:dateUtc="2025-02-10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41E4BC" w16cid:durableId="5F41E4BC"/>
  <w16cid:commentId w16cid:paraId="6F082159" w16cid:durableId="6F082159"/>
  <w16cid:commentId w16cid:paraId="3473B665" w16cid:durableId="3473B665"/>
  <w16cid:commentId w16cid:paraId="602DF113" w16cid:durableId="5ED39B4B"/>
  <w16cid:commentId w16cid:paraId="295BCF00" w16cid:durableId="295BCF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5F89C" w14:textId="77777777" w:rsidR="00F33389" w:rsidRDefault="00F33389" w:rsidP="00520910">
      <w:pPr>
        <w:spacing w:before="0" w:line="240" w:lineRule="auto"/>
      </w:pPr>
      <w:r>
        <w:separator/>
      </w:r>
    </w:p>
  </w:endnote>
  <w:endnote w:type="continuationSeparator" w:id="0">
    <w:p w14:paraId="38EA8D3A" w14:textId="77777777" w:rsidR="00F33389" w:rsidRDefault="00F33389" w:rsidP="005209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64968" w14:textId="77777777" w:rsidR="00F33389" w:rsidRDefault="00F33389">
    <w:pPr>
      <w:pStyle w:val="Fuzeile"/>
    </w:pPr>
  </w:p>
  <w:p w14:paraId="7D7AE050" w14:textId="77777777" w:rsidR="00F33389" w:rsidRDefault="00F333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EE86C" w14:textId="77777777" w:rsidR="00F33389" w:rsidRDefault="00F33389">
    <w:pPr>
      <w:pStyle w:val="Fuzeile"/>
    </w:pPr>
    <w:r>
      <w:fldChar w:fldCharType="begin"/>
    </w:r>
    <w:r>
      <w:instrText xml:space="preserve"> PAGE   \* MERGEFORMAT </w:instrText>
    </w:r>
    <w:r>
      <w:fldChar w:fldCharType="separate"/>
    </w:r>
    <w:r>
      <w:rPr>
        <w:noProof/>
      </w:rPr>
      <w:t>2</w:t>
    </w:r>
    <w:r>
      <w:fldChar w:fldCharType="end"/>
    </w:r>
  </w:p>
  <w:p w14:paraId="6DF733B3" w14:textId="77777777" w:rsidR="00F33389" w:rsidRDefault="00F3338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169551"/>
      <w:docPartObj>
        <w:docPartGallery w:val="Page Numbers (Bottom of Page)"/>
        <w:docPartUnique/>
      </w:docPartObj>
    </w:sdtPr>
    <w:sdtContent>
      <w:p w14:paraId="6329C1E3" w14:textId="0B3A3268" w:rsidR="00F33389" w:rsidRDefault="00F33389" w:rsidP="00B46F88">
        <w:pPr>
          <w:pStyle w:val="Fuzeile"/>
        </w:pPr>
        <w:r>
          <w:t xml:space="preserve">Seite </w:t>
        </w:r>
        <w:r>
          <w:fldChar w:fldCharType="begin"/>
        </w:r>
        <w:r>
          <w:instrText xml:space="preserve"> PAGE  \* Arabic  \* MERGEFORMAT </w:instrText>
        </w:r>
        <w:r>
          <w:fldChar w:fldCharType="separate"/>
        </w:r>
        <w:r w:rsidR="00BA4FDF">
          <w:rPr>
            <w:noProof/>
          </w:rPr>
          <w:t>23</w:t>
        </w:r>
        <w:r>
          <w:fldChar w:fldCharType="end"/>
        </w:r>
        <w:r>
          <w:t xml:space="preserve"> </w:t>
        </w:r>
        <w:r w:rsidRPr="00175D3D">
          <w:t>|</w:t>
        </w:r>
        <w:r>
          <w:t xml:space="preserve"> </w:t>
        </w:r>
        <w:r>
          <w:rPr>
            <w:noProof/>
          </w:rPr>
          <w:fldChar w:fldCharType="begin"/>
        </w:r>
        <w:r>
          <w:rPr>
            <w:noProof/>
          </w:rPr>
          <w:instrText xml:space="preserve"> NUMPAGES  \* Arabic  \* MERGEFORMAT </w:instrText>
        </w:r>
        <w:r>
          <w:rPr>
            <w:noProof/>
          </w:rPr>
          <w:fldChar w:fldCharType="separate"/>
        </w:r>
        <w:r w:rsidR="00BA4FDF">
          <w:rPr>
            <w:noProof/>
          </w:rPr>
          <w:t>38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8571C" w14:textId="77777777" w:rsidR="00F33389" w:rsidRDefault="00F33389" w:rsidP="00520910">
      <w:pPr>
        <w:spacing w:before="0" w:line="240" w:lineRule="auto"/>
      </w:pPr>
      <w:r>
        <w:separator/>
      </w:r>
    </w:p>
  </w:footnote>
  <w:footnote w:type="continuationSeparator" w:id="0">
    <w:p w14:paraId="14FE5757" w14:textId="77777777" w:rsidR="00F33389" w:rsidRDefault="00F33389" w:rsidP="0052091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92DBB" w14:textId="77777777" w:rsidR="00F33389" w:rsidRPr="008E3246" w:rsidRDefault="00F33389" w:rsidP="00D04A9B">
    <w:pPr>
      <w:pStyle w:val="Kopfzeile"/>
      <w:pBdr>
        <w:bottom w:val="single" w:sz="4" w:space="9" w:color="auto"/>
      </w:pBdr>
      <w:rPr>
        <w:sz w:val="18"/>
        <w:szCs w:val="18"/>
      </w:rPr>
    </w:pPr>
    <w:r>
      <w:rPr>
        <w:sz w:val="18"/>
        <w:szCs w:val="18"/>
      </w:rPr>
      <w:t>Anhang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7936"/>
    <w:multiLevelType w:val="hybridMultilevel"/>
    <w:tmpl w:val="709C7960"/>
    <w:lvl w:ilvl="0" w:tplc="26BC83FA">
      <w:start w:val="7"/>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2D46A6"/>
    <w:multiLevelType w:val="hybridMultilevel"/>
    <w:tmpl w:val="3DA2C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3943CA"/>
    <w:multiLevelType w:val="multilevel"/>
    <w:tmpl w:val="AD784724"/>
    <w:lvl w:ilvl="0">
      <w:start w:val="1"/>
      <w:numFmt w:val="decimal"/>
      <w:pStyle w:val="ListeEmpfehlungen"/>
      <w:lvlText w:val="E %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DCC0D15"/>
    <w:multiLevelType w:val="multilevel"/>
    <w:tmpl w:val="06763E3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3AD09AD"/>
    <w:multiLevelType w:val="multilevel"/>
    <w:tmpl w:val="2C681F8A"/>
    <w:lvl w:ilvl="0">
      <w:start w:val="1"/>
      <w:numFmt w:val="bullet"/>
      <w:lvlText w:val="-"/>
      <w:lvlJc w:val="left"/>
      <w:pPr>
        <w:ind w:left="720" w:hanging="360"/>
      </w:pPr>
      <w:rPr>
        <w:rFonts w:ascii="Arial" w:hAnsi="Arial" w:hint="default"/>
      </w:rPr>
    </w:lvl>
    <w:lvl w:ilvl="1">
      <w:start w:val="1"/>
      <w:numFmt w:val="bullet"/>
      <w:pStyle w:val="Listenabsatz"/>
      <w:lvlText w:val="-"/>
      <w:lvlJc w:val="left"/>
      <w:pPr>
        <w:ind w:left="1134" w:hanging="397"/>
      </w:pPr>
      <w:rPr>
        <w:rFonts w:ascii="Arial" w:hAnsi="Arial" w:hint="default"/>
        <w:b w:val="0"/>
        <w:i w:val="0"/>
        <w:sz w:val="22"/>
      </w:rPr>
    </w:lvl>
    <w:lvl w:ilvl="2">
      <w:start w:val="1"/>
      <w:numFmt w:val="bullet"/>
      <w:lvlText w:val="-"/>
      <w:lvlJc w:val="left"/>
      <w:pPr>
        <w:ind w:left="1644" w:hanging="397"/>
      </w:pPr>
      <w:rPr>
        <w:rFonts w:ascii="Arial" w:hAnsi="Arial" w:hint="default"/>
      </w:rPr>
    </w:lvl>
    <w:lvl w:ilvl="3">
      <w:start w:val="1"/>
      <w:numFmt w:val="bullet"/>
      <w:lvlText w:val="-"/>
      <w:lvlJc w:val="left"/>
      <w:pPr>
        <w:ind w:left="2155" w:hanging="397"/>
      </w:pPr>
      <w:rPr>
        <w:rFonts w:ascii="Arial" w:hAnsi="Aria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9B911CB"/>
    <w:multiLevelType w:val="hybridMultilevel"/>
    <w:tmpl w:val="DD42E5FC"/>
    <w:lvl w:ilvl="0" w:tplc="CFC42172">
      <w:start w:val="1"/>
      <w:numFmt w:val="bullet"/>
      <w:pStyle w:val="Aufzhlung"/>
      <w:lvlText w:val=""/>
      <w:lvlJc w:val="left"/>
      <w:pPr>
        <w:ind w:left="720" w:hanging="360"/>
      </w:pPr>
      <w:rPr>
        <w:rFonts w:ascii="Symbol" w:hAnsi="Symbol" w:hint="default"/>
      </w:rPr>
    </w:lvl>
    <w:lvl w:ilvl="1" w:tplc="71F642E8">
      <w:start w:val="1"/>
      <w:numFmt w:val="bullet"/>
      <w:lvlText w:val="o"/>
      <w:lvlJc w:val="left"/>
      <w:pPr>
        <w:ind w:left="1440" w:hanging="360"/>
      </w:pPr>
      <w:rPr>
        <w:rFonts w:ascii="Courier New" w:hAnsi="Courier New" w:cs="Courier New" w:hint="default"/>
      </w:rPr>
    </w:lvl>
    <w:lvl w:ilvl="2" w:tplc="3BF47DE2" w:tentative="1">
      <w:start w:val="1"/>
      <w:numFmt w:val="bullet"/>
      <w:lvlText w:val=""/>
      <w:lvlJc w:val="left"/>
      <w:pPr>
        <w:ind w:left="2160" w:hanging="360"/>
      </w:pPr>
      <w:rPr>
        <w:rFonts w:ascii="Wingdings" w:hAnsi="Wingdings" w:hint="default"/>
      </w:rPr>
    </w:lvl>
    <w:lvl w:ilvl="3" w:tplc="E85CA662" w:tentative="1">
      <w:start w:val="1"/>
      <w:numFmt w:val="bullet"/>
      <w:lvlText w:val=""/>
      <w:lvlJc w:val="left"/>
      <w:pPr>
        <w:ind w:left="2880" w:hanging="360"/>
      </w:pPr>
      <w:rPr>
        <w:rFonts w:ascii="Symbol" w:hAnsi="Symbol" w:hint="default"/>
      </w:rPr>
    </w:lvl>
    <w:lvl w:ilvl="4" w:tplc="6B7CF2E6" w:tentative="1">
      <w:start w:val="1"/>
      <w:numFmt w:val="bullet"/>
      <w:lvlText w:val="o"/>
      <w:lvlJc w:val="left"/>
      <w:pPr>
        <w:ind w:left="3600" w:hanging="360"/>
      </w:pPr>
      <w:rPr>
        <w:rFonts w:ascii="Courier New" w:hAnsi="Courier New" w:cs="Courier New" w:hint="default"/>
      </w:rPr>
    </w:lvl>
    <w:lvl w:ilvl="5" w:tplc="2716FD18" w:tentative="1">
      <w:start w:val="1"/>
      <w:numFmt w:val="bullet"/>
      <w:lvlText w:val=""/>
      <w:lvlJc w:val="left"/>
      <w:pPr>
        <w:ind w:left="4320" w:hanging="360"/>
      </w:pPr>
      <w:rPr>
        <w:rFonts w:ascii="Wingdings" w:hAnsi="Wingdings" w:hint="default"/>
      </w:rPr>
    </w:lvl>
    <w:lvl w:ilvl="6" w:tplc="2C145BFC" w:tentative="1">
      <w:start w:val="1"/>
      <w:numFmt w:val="bullet"/>
      <w:lvlText w:val=""/>
      <w:lvlJc w:val="left"/>
      <w:pPr>
        <w:ind w:left="5040" w:hanging="360"/>
      </w:pPr>
      <w:rPr>
        <w:rFonts w:ascii="Symbol" w:hAnsi="Symbol" w:hint="default"/>
      </w:rPr>
    </w:lvl>
    <w:lvl w:ilvl="7" w:tplc="2E7497BA" w:tentative="1">
      <w:start w:val="1"/>
      <w:numFmt w:val="bullet"/>
      <w:lvlText w:val="o"/>
      <w:lvlJc w:val="left"/>
      <w:pPr>
        <w:ind w:left="5760" w:hanging="360"/>
      </w:pPr>
      <w:rPr>
        <w:rFonts w:ascii="Courier New" w:hAnsi="Courier New" w:cs="Courier New" w:hint="default"/>
      </w:rPr>
    </w:lvl>
    <w:lvl w:ilvl="8" w:tplc="3CE201B0" w:tentative="1">
      <w:start w:val="1"/>
      <w:numFmt w:val="bullet"/>
      <w:lvlText w:val=""/>
      <w:lvlJc w:val="left"/>
      <w:pPr>
        <w:ind w:left="6480" w:hanging="360"/>
      </w:pPr>
      <w:rPr>
        <w:rFonts w:ascii="Wingdings" w:hAnsi="Wingdings" w:hint="default"/>
      </w:rPr>
    </w:lvl>
  </w:abstractNum>
  <w:abstractNum w:abstractNumId="6" w15:restartNumberingAfterBreak="0">
    <w:nsid w:val="541B5A4C"/>
    <w:multiLevelType w:val="hybridMultilevel"/>
    <w:tmpl w:val="A1306174"/>
    <w:lvl w:ilvl="0" w:tplc="29DC3EC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335615"/>
    <w:multiLevelType w:val="multilevel"/>
    <w:tmpl w:val="FCD88BEA"/>
    <w:lvl w:ilvl="0">
      <w:start w:val="1"/>
      <w:numFmt w:val="decimal"/>
      <w:pStyle w:val="ListeAuflagen"/>
      <w:lvlText w:val="A %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A287978"/>
    <w:multiLevelType w:val="hybridMultilevel"/>
    <w:tmpl w:val="C64A940C"/>
    <w:lvl w:ilvl="0" w:tplc="E37A3D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944F87"/>
    <w:multiLevelType w:val="hybridMultilevel"/>
    <w:tmpl w:val="6C743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CE6DDE"/>
    <w:multiLevelType w:val="hybridMultilevel"/>
    <w:tmpl w:val="66124ED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B7B2A5E"/>
    <w:multiLevelType w:val="hybridMultilevel"/>
    <w:tmpl w:val="7858309C"/>
    <w:lvl w:ilvl="0" w:tplc="514649E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294E45"/>
    <w:multiLevelType w:val="multilevel"/>
    <w:tmpl w:val="C0C861B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2422" w:hanging="720"/>
      </w:pPr>
      <w:rPr>
        <w:rFonts w:cs="Times New Roman"/>
      </w:rPr>
    </w:lvl>
    <w:lvl w:ilvl="3">
      <w:start w:val="1"/>
      <w:numFmt w:val="decimal"/>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num w:numId="1">
    <w:abstractNumId w:val="12"/>
  </w:num>
  <w:num w:numId="2">
    <w:abstractNumId w:val="4"/>
  </w:num>
  <w:num w:numId="3">
    <w:abstractNumId w:val="10"/>
  </w:num>
  <w:num w:numId="4">
    <w:abstractNumId w:val="3"/>
  </w:num>
  <w:num w:numId="5">
    <w:abstractNumId w:val="1"/>
  </w:num>
  <w:num w:numId="6">
    <w:abstractNumId w:val="5"/>
  </w:num>
  <w:num w:numId="7">
    <w:abstractNumId w:val="11"/>
  </w:num>
  <w:num w:numId="8">
    <w:abstractNumId w:val="6"/>
  </w:num>
  <w:num w:numId="9">
    <w:abstractNumId w:val="9"/>
  </w:num>
  <w:num w:numId="10">
    <w:abstractNumId w:val="0"/>
  </w:num>
  <w:num w:numId="11">
    <w:abstractNumId w:val="8"/>
  </w:num>
  <w:num w:numId="12">
    <w:abstractNumId w:val="7"/>
  </w:num>
  <w:num w:numId="13">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ina Petracenko">
    <w15:presenceInfo w15:providerId="AD" w15:userId="S-1-5-21-1485132201-84176795-3582379752-3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de-DE"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D7"/>
    <w:rsid w:val="00000565"/>
    <w:rsid w:val="00000DA8"/>
    <w:rsid w:val="00001DC1"/>
    <w:rsid w:val="000024BF"/>
    <w:rsid w:val="00002B62"/>
    <w:rsid w:val="00002E1F"/>
    <w:rsid w:val="00003D2E"/>
    <w:rsid w:val="0000787D"/>
    <w:rsid w:val="00012783"/>
    <w:rsid w:val="0001374B"/>
    <w:rsid w:val="000145BC"/>
    <w:rsid w:val="00014B2F"/>
    <w:rsid w:val="00015012"/>
    <w:rsid w:val="00016557"/>
    <w:rsid w:val="00020BD0"/>
    <w:rsid w:val="00021295"/>
    <w:rsid w:val="00022570"/>
    <w:rsid w:val="000233B1"/>
    <w:rsid w:val="000258A3"/>
    <w:rsid w:val="00030E04"/>
    <w:rsid w:val="000321AC"/>
    <w:rsid w:val="00033D56"/>
    <w:rsid w:val="00036767"/>
    <w:rsid w:val="000419D9"/>
    <w:rsid w:val="000508D1"/>
    <w:rsid w:val="00052B71"/>
    <w:rsid w:val="00052C1A"/>
    <w:rsid w:val="000542D8"/>
    <w:rsid w:val="00054853"/>
    <w:rsid w:val="0005492F"/>
    <w:rsid w:val="00056754"/>
    <w:rsid w:val="00056886"/>
    <w:rsid w:val="00056ECF"/>
    <w:rsid w:val="00060A51"/>
    <w:rsid w:val="0006137B"/>
    <w:rsid w:val="000614D3"/>
    <w:rsid w:val="000625FA"/>
    <w:rsid w:val="00063F4F"/>
    <w:rsid w:val="00064ADF"/>
    <w:rsid w:val="00065133"/>
    <w:rsid w:val="00067D30"/>
    <w:rsid w:val="0007218B"/>
    <w:rsid w:val="000726E0"/>
    <w:rsid w:val="00072B29"/>
    <w:rsid w:val="00073147"/>
    <w:rsid w:val="000762E2"/>
    <w:rsid w:val="00076745"/>
    <w:rsid w:val="0007712E"/>
    <w:rsid w:val="0007797D"/>
    <w:rsid w:val="000812A4"/>
    <w:rsid w:val="00081FC8"/>
    <w:rsid w:val="000821A0"/>
    <w:rsid w:val="000840BD"/>
    <w:rsid w:val="00085C12"/>
    <w:rsid w:val="00087A4A"/>
    <w:rsid w:val="00087D64"/>
    <w:rsid w:val="00091E5E"/>
    <w:rsid w:val="000930D3"/>
    <w:rsid w:val="00097B85"/>
    <w:rsid w:val="000A02F8"/>
    <w:rsid w:val="000A0E7B"/>
    <w:rsid w:val="000A257F"/>
    <w:rsid w:val="000A5914"/>
    <w:rsid w:val="000B126A"/>
    <w:rsid w:val="000B2D36"/>
    <w:rsid w:val="000B2D6F"/>
    <w:rsid w:val="000B4724"/>
    <w:rsid w:val="000B4E30"/>
    <w:rsid w:val="000B6BCA"/>
    <w:rsid w:val="000B7B17"/>
    <w:rsid w:val="000C125E"/>
    <w:rsid w:val="000C2A74"/>
    <w:rsid w:val="000C6383"/>
    <w:rsid w:val="000C6632"/>
    <w:rsid w:val="000D143A"/>
    <w:rsid w:val="000D1DCB"/>
    <w:rsid w:val="000D2468"/>
    <w:rsid w:val="000D31D4"/>
    <w:rsid w:val="000D3F65"/>
    <w:rsid w:val="000D5AB9"/>
    <w:rsid w:val="000E0C15"/>
    <w:rsid w:val="000E2963"/>
    <w:rsid w:val="000E541C"/>
    <w:rsid w:val="000E5CCC"/>
    <w:rsid w:val="000E67CA"/>
    <w:rsid w:val="000E6869"/>
    <w:rsid w:val="000E6A4D"/>
    <w:rsid w:val="000E786C"/>
    <w:rsid w:val="000F1142"/>
    <w:rsid w:val="000F1F26"/>
    <w:rsid w:val="000F4EF8"/>
    <w:rsid w:val="000F574D"/>
    <w:rsid w:val="000F6806"/>
    <w:rsid w:val="000F742B"/>
    <w:rsid w:val="000F7DAB"/>
    <w:rsid w:val="001047CD"/>
    <w:rsid w:val="00104D0E"/>
    <w:rsid w:val="001060A1"/>
    <w:rsid w:val="0011057E"/>
    <w:rsid w:val="00110BC1"/>
    <w:rsid w:val="00120578"/>
    <w:rsid w:val="00120EE3"/>
    <w:rsid w:val="00123C31"/>
    <w:rsid w:val="0012411A"/>
    <w:rsid w:val="0012513A"/>
    <w:rsid w:val="001251B2"/>
    <w:rsid w:val="00125CDE"/>
    <w:rsid w:val="00126353"/>
    <w:rsid w:val="00126412"/>
    <w:rsid w:val="001269FF"/>
    <w:rsid w:val="001300E0"/>
    <w:rsid w:val="001309C6"/>
    <w:rsid w:val="0013194E"/>
    <w:rsid w:val="00133B0D"/>
    <w:rsid w:val="00133F8D"/>
    <w:rsid w:val="001370A9"/>
    <w:rsid w:val="00142116"/>
    <w:rsid w:val="00144C21"/>
    <w:rsid w:val="001474BD"/>
    <w:rsid w:val="00152EC0"/>
    <w:rsid w:val="00153B96"/>
    <w:rsid w:val="00154809"/>
    <w:rsid w:val="00161AA0"/>
    <w:rsid w:val="001634F3"/>
    <w:rsid w:val="001647CA"/>
    <w:rsid w:val="00164E2E"/>
    <w:rsid w:val="00165B5F"/>
    <w:rsid w:val="00167E15"/>
    <w:rsid w:val="00170B6A"/>
    <w:rsid w:val="001737CA"/>
    <w:rsid w:val="00175A2E"/>
    <w:rsid w:val="00175D3D"/>
    <w:rsid w:val="00176C52"/>
    <w:rsid w:val="001823B1"/>
    <w:rsid w:val="00182929"/>
    <w:rsid w:val="00182C92"/>
    <w:rsid w:val="001848CC"/>
    <w:rsid w:val="0018628B"/>
    <w:rsid w:val="00190929"/>
    <w:rsid w:val="00193475"/>
    <w:rsid w:val="001935E8"/>
    <w:rsid w:val="0019387F"/>
    <w:rsid w:val="00193A26"/>
    <w:rsid w:val="00194E35"/>
    <w:rsid w:val="00195076"/>
    <w:rsid w:val="00196C90"/>
    <w:rsid w:val="00196E9C"/>
    <w:rsid w:val="001A2998"/>
    <w:rsid w:val="001B0A82"/>
    <w:rsid w:val="001B1F1D"/>
    <w:rsid w:val="001B44C2"/>
    <w:rsid w:val="001B5A15"/>
    <w:rsid w:val="001B6906"/>
    <w:rsid w:val="001C0973"/>
    <w:rsid w:val="001C132A"/>
    <w:rsid w:val="001C31ED"/>
    <w:rsid w:val="001C3555"/>
    <w:rsid w:val="001C3580"/>
    <w:rsid w:val="001C5B84"/>
    <w:rsid w:val="001C5CCD"/>
    <w:rsid w:val="001C67A5"/>
    <w:rsid w:val="001D0E57"/>
    <w:rsid w:val="001D3216"/>
    <w:rsid w:val="001E0BB7"/>
    <w:rsid w:val="001E34A4"/>
    <w:rsid w:val="001E3A1B"/>
    <w:rsid w:val="001E3E4C"/>
    <w:rsid w:val="001E7C62"/>
    <w:rsid w:val="001F0A63"/>
    <w:rsid w:val="001F32EF"/>
    <w:rsid w:val="001F47A0"/>
    <w:rsid w:val="001F606B"/>
    <w:rsid w:val="001F75EB"/>
    <w:rsid w:val="001F78EA"/>
    <w:rsid w:val="0020042E"/>
    <w:rsid w:val="00201D70"/>
    <w:rsid w:val="0020319C"/>
    <w:rsid w:val="00204E34"/>
    <w:rsid w:val="0020652F"/>
    <w:rsid w:val="00207289"/>
    <w:rsid w:val="00212834"/>
    <w:rsid w:val="00217F13"/>
    <w:rsid w:val="00225F95"/>
    <w:rsid w:val="00231002"/>
    <w:rsid w:val="002311CF"/>
    <w:rsid w:val="002320C8"/>
    <w:rsid w:val="0023403B"/>
    <w:rsid w:val="00237AD2"/>
    <w:rsid w:val="00240BC5"/>
    <w:rsid w:val="002418A2"/>
    <w:rsid w:val="00241BD8"/>
    <w:rsid w:val="00241F30"/>
    <w:rsid w:val="00243E2D"/>
    <w:rsid w:val="00245FC3"/>
    <w:rsid w:val="002505E6"/>
    <w:rsid w:val="00251493"/>
    <w:rsid w:val="00252C7E"/>
    <w:rsid w:val="002530C2"/>
    <w:rsid w:val="002534F3"/>
    <w:rsid w:val="002556FF"/>
    <w:rsid w:val="00256504"/>
    <w:rsid w:val="00256D6F"/>
    <w:rsid w:val="0026224F"/>
    <w:rsid w:val="00262D11"/>
    <w:rsid w:val="00264A18"/>
    <w:rsid w:val="00267434"/>
    <w:rsid w:val="00273A9D"/>
    <w:rsid w:val="00274D59"/>
    <w:rsid w:val="00275528"/>
    <w:rsid w:val="00275E8A"/>
    <w:rsid w:val="002813E0"/>
    <w:rsid w:val="00282EA7"/>
    <w:rsid w:val="002835B3"/>
    <w:rsid w:val="00284E8F"/>
    <w:rsid w:val="0028616B"/>
    <w:rsid w:val="0029044C"/>
    <w:rsid w:val="00290C75"/>
    <w:rsid w:val="00290DA5"/>
    <w:rsid w:val="0029171E"/>
    <w:rsid w:val="00294195"/>
    <w:rsid w:val="0029491B"/>
    <w:rsid w:val="00294E3C"/>
    <w:rsid w:val="00295058"/>
    <w:rsid w:val="0029594C"/>
    <w:rsid w:val="00296597"/>
    <w:rsid w:val="002971B2"/>
    <w:rsid w:val="002A1E7F"/>
    <w:rsid w:val="002A488A"/>
    <w:rsid w:val="002A4CDF"/>
    <w:rsid w:val="002A6D2B"/>
    <w:rsid w:val="002A6D83"/>
    <w:rsid w:val="002A7AE6"/>
    <w:rsid w:val="002A7C07"/>
    <w:rsid w:val="002B16C8"/>
    <w:rsid w:val="002B2BFA"/>
    <w:rsid w:val="002B4025"/>
    <w:rsid w:val="002B4978"/>
    <w:rsid w:val="002B4E50"/>
    <w:rsid w:val="002B4EE4"/>
    <w:rsid w:val="002B64C9"/>
    <w:rsid w:val="002B74BB"/>
    <w:rsid w:val="002B77EE"/>
    <w:rsid w:val="002B7B7D"/>
    <w:rsid w:val="002C00AB"/>
    <w:rsid w:val="002C19C9"/>
    <w:rsid w:val="002C25CB"/>
    <w:rsid w:val="002C429E"/>
    <w:rsid w:val="002C6938"/>
    <w:rsid w:val="002D0B0E"/>
    <w:rsid w:val="002D492D"/>
    <w:rsid w:val="002D6C48"/>
    <w:rsid w:val="002D6DA2"/>
    <w:rsid w:val="002E14A1"/>
    <w:rsid w:val="002E1C41"/>
    <w:rsid w:val="002E2F2B"/>
    <w:rsid w:val="002F1394"/>
    <w:rsid w:val="002F15B6"/>
    <w:rsid w:val="002F1F7C"/>
    <w:rsid w:val="002F409E"/>
    <w:rsid w:val="002F478F"/>
    <w:rsid w:val="002F5B49"/>
    <w:rsid w:val="002F5F87"/>
    <w:rsid w:val="002F661F"/>
    <w:rsid w:val="002F7B85"/>
    <w:rsid w:val="00300757"/>
    <w:rsid w:val="003063F7"/>
    <w:rsid w:val="003107F1"/>
    <w:rsid w:val="0031130C"/>
    <w:rsid w:val="00312E9C"/>
    <w:rsid w:val="0031661F"/>
    <w:rsid w:val="00317B79"/>
    <w:rsid w:val="003201D9"/>
    <w:rsid w:val="0032158E"/>
    <w:rsid w:val="00326510"/>
    <w:rsid w:val="0032667C"/>
    <w:rsid w:val="0033252A"/>
    <w:rsid w:val="0033330C"/>
    <w:rsid w:val="003336AB"/>
    <w:rsid w:val="0033435A"/>
    <w:rsid w:val="003365CC"/>
    <w:rsid w:val="0034053F"/>
    <w:rsid w:val="003477C9"/>
    <w:rsid w:val="00350F68"/>
    <w:rsid w:val="00353ED3"/>
    <w:rsid w:val="00354D9F"/>
    <w:rsid w:val="00355DFC"/>
    <w:rsid w:val="0035748D"/>
    <w:rsid w:val="00362B44"/>
    <w:rsid w:val="003646EA"/>
    <w:rsid w:val="00370150"/>
    <w:rsid w:val="00370A2A"/>
    <w:rsid w:val="00371883"/>
    <w:rsid w:val="00371BC8"/>
    <w:rsid w:val="003726A3"/>
    <w:rsid w:val="0037374E"/>
    <w:rsid w:val="00375250"/>
    <w:rsid w:val="00376A2C"/>
    <w:rsid w:val="0038307C"/>
    <w:rsid w:val="003842A6"/>
    <w:rsid w:val="00384515"/>
    <w:rsid w:val="0038477A"/>
    <w:rsid w:val="00384F9D"/>
    <w:rsid w:val="0038519F"/>
    <w:rsid w:val="00385989"/>
    <w:rsid w:val="00387816"/>
    <w:rsid w:val="00391342"/>
    <w:rsid w:val="003916CD"/>
    <w:rsid w:val="00392FA9"/>
    <w:rsid w:val="00394243"/>
    <w:rsid w:val="00394BE8"/>
    <w:rsid w:val="003977D6"/>
    <w:rsid w:val="003A016D"/>
    <w:rsid w:val="003A2E26"/>
    <w:rsid w:val="003A4357"/>
    <w:rsid w:val="003A45F9"/>
    <w:rsid w:val="003A5229"/>
    <w:rsid w:val="003A5F4E"/>
    <w:rsid w:val="003A6D8A"/>
    <w:rsid w:val="003A7FAA"/>
    <w:rsid w:val="003B04E2"/>
    <w:rsid w:val="003B71DE"/>
    <w:rsid w:val="003C1D6D"/>
    <w:rsid w:val="003C23A6"/>
    <w:rsid w:val="003C2979"/>
    <w:rsid w:val="003C6149"/>
    <w:rsid w:val="003D0A1D"/>
    <w:rsid w:val="003D0CEE"/>
    <w:rsid w:val="003D101D"/>
    <w:rsid w:val="003D3B11"/>
    <w:rsid w:val="003D690C"/>
    <w:rsid w:val="003E0B48"/>
    <w:rsid w:val="003E1917"/>
    <w:rsid w:val="003E3C12"/>
    <w:rsid w:val="003E6506"/>
    <w:rsid w:val="003F13E7"/>
    <w:rsid w:val="003F265D"/>
    <w:rsid w:val="003F4506"/>
    <w:rsid w:val="003F65E8"/>
    <w:rsid w:val="004013CD"/>
    <w:rsid w:val="00401BF4"/>
    <w:rsid w:val="00402DF0"/>
    <w:rsid w:val="00404DCD"/>
    <w:rsid w:val="00405576"/>
    <w:rsid w:val="0040645F"/>
    <w:rsid w:val="004070DB"/>
    <w:rsid w:val="00412767"/>
    <w:rsid w:val="00413B05"/>
    <w:rsid w:val="004165E8"/>
    <w:rsid w:val="004234E2"/>
    <w:rsid w:val="004237AF"/>
    <w:rsid w:val="00423D27"/>
    <w:rsid w:val="004253AC"/>
    <w:rsid w:val="004257C2"/>
    <w:rsid w:val="00427D6B"/>
    <w:rsid w:val="0043038C"/>
    <w:rsid w:val="00430522"/>
    <w:rsid w:val="00433814"/>
    <w:rsid w:val="00435158"/>
    <w:rsid w:val="004356C8"/>
    <w:rsid w:val="00436692"/>
    <w:rsid w:val="0044012B"/>
    <w:rsid w:val="0044081B"/>
    <w:rsid w:val="004423DB"/>
    <w:rsid w:val="004432B2"/>
    <w:rsid w:val="0044491E"/>
    <w:rsid w:val="00444BF4"/>
    <w:rsid w:val="00444F5B"/>
    <w:rsid w:val="00447FB8"/>
    <w:rsid w:val="004507AC"/>
    <w:rsid w:val="004507B1"/>
    <w:rsid w:val="004551F5"/>
    <w:rsid w:val="00457100"/>
    <w:rsid w:val="004576A4"/>
    <w:rsid w:val="00460851"/>
    <w:rsid w:val="00460B33"/>
    <w:rsid w:val="00460C05"/>
    <w:rsid w:val="00462498"/>
    <w:rsid w:val="0046448F"/>
    <w:rsid w:val="00465173"/>
    <w:rsid w:val="00466065"/>
    <w:rsid w:val="00466B67"/>
    <w:rsid w:val="00470262"/>
    <w:rsid w:val="00470B78"/>
    <w:rsid w:val="004714E9"/>
    <w:rsid w:val="00474BF7"/>
    <w:rsid w:val="00474E60"/>
    <w:rsid w:val="004761C4"/>
    <w:rsid w:val="00484697"/>
    <w:rsid w:val="004875D1"/>
    <w:rsid w:val="00487FC6"/>
    <w:rsid w:val="004902FB"/>
    <w:rsid w:val="00490D81"/>
    <w:rsid w:val="00491AE9"/>
    <w:rsid w:val="00493849"/>
    <w:rsid w:val="004949CB"/>
    <w:rsid w:val="00495161"/>
    <w:rsid w:val="00495235"/>
    <w:rsid w:val="004A2AB8"/>
    <w:rsid w:val="004A2D19"/>
    <w:rsid w:val="004A32EF"/>
    <w:rsid w:val="004A5B33"/>
    <w:rsid w:val="004A673F"/>
    <w:rsid w:val="004A7FD7"/>
    <w:rsid w:val="004B1DEC"/>
    <w:rsid w:val="004B276E"/>
    <w:rsid w:val="004B4E27"/>
    <w:rsid w:val="004B73BB"/>
    <w:rsid w:val="004B7943"/>
    <w:rsid w:val="004C0184"/>
    <w:rsid w:val="004C17A0"/>
    <w:rsid w:val="004C41FE"/>
    <w:rsid w:val="004C551D"/>
    <w:rsid w:val="004C6211"/>
    <w:rsid w:val="004D1BB2"/>
    <w:rsid w:val="004D4BFF"/>
    <w:rsid w:val="004D4CF8"/>
    <w:rsid w:val="004D5E56"/>
    <w:rsid w:val="004E18CB"/>
    <w:rsid w:val="004E1B65"/>
    <w:rsid w:val="004E2630"/>
    <w:rsid w:val="004E2C7B"/>
    <w:rsid w:val="004E3BC6"/>
    <w:rsid w:val="004E5A56"/>
    <w:rsid w:val="004E69CD"/>
    <w:rsid w:val="004F2938"/>
    <w:rsid w:val="004F3EBA"/>
    <w:rsid w:val="004F6656"/>
    <w:rsid w:val="004F6D28"/>
    <w:rsid w:val="005000C4"/>
    <w:rsid w:val="0050186B"/>
    <w:rsid w:val="005027C5"/>
    <w:rsid w:val="005044AB"/>
    <w:rsid w:val="00505953"/>
    <w:rsid w:val="00510C14"/>
    <w:rsid w:val="005117BE"/>
    <w:rsid w:val="00513CD3"/>
    <w:rsid w:val="005141C5"/>
    <w:rsid w:val="00515591"/>
    <w:rsid w:val="00516397"/>
    <w:rsid w:val="00520772"/>
    <w:rsid w:val="00520910"/>
    <w:rsid w:val="0052310F"/>
    <w:rsid w:val="005254F2"/>
    <w:rsid w:val="00525E86"/>
    <w:rsid w:val="00526356"/>
    <w:rsid w:val="005269A0"/>
    <w:rsid w:val="00533382"/>
    <w:rsid w:val="00533B60"/>
    <w:rsid w:val="005365C5"/>
    <w:rsid w:val="005529B4"/>
    <w:rsid w:val="00552B33"/>
    <w:rsid w:val="005615A0"/>
    <w:rsid w:val="0056192A"/>
    <w:rsid w:val="00564321"/>
    <w:rsid w:val="0056459E"/>
    <w:rsid w:val="00566500"/>
    <w:rsid w:val="005667B7"/>
    <w:rsid w:val="005669C0"/>
    <w:rsid w:val="00574FF3"/>
    <w:rsid w:val="00576653"/>
    <w:rsid w:val="00576EAB"/>
    <w:rsid w:val="00577883"/>
    <w:rsid w:val="00581E6B"/>
    <w:rsid w:val="0058237E"/>
    <w:rsid w:val="00582459"/>
    <w:rsid w:val="00582830"/>
    <w:rsid w:val="00583199"/>
    <w:rsid w:val="005849E7"/>
    <w:rsid w:val="00585DD0"/>
    <w:rsid w:val="005868BA"/>
    <w:rsid w:val="005874C5"/>
    <w:rsid w:val="00587BF1"/>
    <w:rsid w:val="005929CB"/>
    <w:rsid w:val="005933D5"/>
    <w:rsid w:val="0059456B"/>
    <w:rsid w:val="00595A05"/>
    <w:rsid w:val="00597132"/>
    <w:rsid w:val="005A0306"/>
    <w:rsid w:val="005A19DC"/>
    <w:rsid w:val="005A57FD"/>
    <w:rsid w:val="005B0084"/>
    <w:rsid w:val="005B0CCF"/>
    <w:rsid w:val="005B2218"/>
    <w:rsid w:val="005B40F7"/>
    <w:rsid w:val="005B52CD"/>
    <w:rsid w:val="005B5E0D"/>
    <w:rsid w:val="005B6F21"/>
    <w:rsid w:val="005B778B"/>
    <w:rsid w:val="005B780D"/>
    <w:rsid w:val="005B7F79"/>
    <w:rsid w:val="005C1A44"/>
    <w:rsid w:val="005C233F"/>
    <w:rsid w:val="005C3087"/>
    <w:rsid w:val="005C473E"/>
    <w:rsid w:val="005C67C5"/>
    <w:rsid w:val="005C704C"/>
    <w:rsid w:val="005C7DBB"/>
    <w:rsid w:val="005D0998"/>
    <w:rsid w:val="005D50BB"/>
    <w:rsid w:val="005D7853"/>
    <w:rsid w:val="005D7C5E"/>
    <w:rsid w:val="005D7D86"/>
    <w:rsid w:val="005E027A"/>
    <w:rsid w:val="005E0644"/>
    <w:rsid w:val="005E1915"/>
    <w:rsid w:val="005E3F70"/>
    <w:rsid w:val="005E495C"/>
    <w:rsid w:val="005E4C8E"/>
    <w:rsid w:val="005E53C9"/>
    <w:rsid w:val="005E603D"/>
    <w:rsid w:val="005E64D4"/>
    <w:rsid w:val="005F14BC"/>
    <w:rsid w:val="005F1D59"/>
    <w:rsid w:val="005F2B06"/>
    <w:rsid w:val="005F75AC"/>
    <w:rsid w:val="00602F7E"/>
    <w:rsid w:val="00610B58"/>
    <w:rsid w:val="00610FDB"/>
    <w:rsid w:val="00612D01"/>
    <w:rsid w:val="00616657"/>
    <w:rsid w:val="00620071"/>
    <w:rsid w:val="006200E6"/>
    <w:rsid w:val="006216B9"/>
    <w:rsid w:val="00622049"/>
    <w:rsid w:val="00622A69"/>
    <w:rsid w:val="00624DDF"/>
    <w:rsid w:val="00626C49"/>
    <w:rsid w:val="00633C99"/>
    <w:rsid w:val="00634D4E"/>
    <w:rsid w:val="00637E04"/>
    <w:rsid w:val="00641599"/>
    <w:rsid w:val="006427FD"/>
    <w:rsid w:val="0064296B"/>
    <w:rsid w:val="00642F7C"/>
    <w:rsid w:val="00643176"/>
    <w:rsid w:val="0064322C"/>
    <w:rsid w:val="00643357"/>
    <w:rsid w:val="00645905"/>
    <w:rsid w:val="00645D2C"/>
    <w:rsid w:val="00650AFD"/>
    <w:rsid w:val="00650C36"/>
    <w:rsid w:val="00654040"/>
    <w:rsid w:val="00654395"/>
    <w:rsid w:val="00657122"/>
    <w:rsid w:val="00660682"/>
    <w:rsid w:val="00661399"/>
    <w:rsid w:val="006618D8"/>
    <w:rsid w:val="006629B1"/>
    <w:rsid w:val="00663705"/>
    <w:rsid w:val="00664DC7"/>
    <w:rsid w:val="006672A2"/>
    <w:rsid w:val="00670EBA"/>
    <w:rsid w:val="00671597"/>
    <w:rsid w:val="00671734"/>
    <w:rsid w:val="00672BC9"/>
    <w:rsid w:val="00680720"/>
    <w:rsid w:val="00680ACB"/>
    <w:rsid w:val="006834D2"/>
    <w:rsid w:val="006835C1"/>
    <w:rsid w:val="006849DE"/>
    <w:rsid w:val="00686117"/>
    <w:rsid w:val="0068625C"/>
    <w:rsid w:val="006865C7"/>
    <w:rsid w:val="00687460"/>
    <w:rsid w:val="00687D5F"/>
    <w:rsid w:val="00690010"/>
    <w:rsid w:val="006908EF"/>
    <w:rsid w:val="006910AB"/>
    <w:rsid w:val="00693194"/>
    <w:rsid w:val="006952E4"/>
    <w:rsid w:val="00696380"/>
    <w:rsid w:val="006A18E3"/>
    <w:rsid w:val="006A2766"/>
    <w:rsid w:val="006A3065"/>
    <w:rsid w:val="006A45D0"/>
    <w:rsid w:val="006A725F"/>
    <w:rsid w:val="006B2358"/>
    <w:rsid w:val="006B37F6"/>
    <w:rsid w:val="006B48C4"/>
    <w:rsid w:val="006B55DD"/>
    <w:rsid w:val="006B5B2D"/>
    <w:rsid w:val="006B6971"/>
    <w:rsid w:val="006C6601"/>
    <w:rsid w:val="006D4256"/>
    <w:rsid w:val="006D4EFB"/>
    <w:rsid w:val="006D5B8B"/>
    <w:rsid w:val="006E16AD"/>
    <w:rsid w:val="006E2DE7"/>
    <w:rsid w:val="006E589E"/>
    <w:rsid w:val="006E5F14"/>
    <w:rsid w:val="006F07D3"/>
    <w:rsid w:val="006F18D7"/>
    <w:rsid w:val="006F465D"/>
    <w:rsid w:val="006F4919"/>
    <w:rsid w:val="006F4DDA"/>
    <w:rsid w:val="006F5D8B"/>
    <w:rsid w:val="006F5F9A"/>
    <w:rsid w:val="00703087"/>
    <w:rsid w:val="007101F7"/>
    <w:rsid w:val="007135F9"/>
    <w:rsid w:val="0072024C"/>
    <w:rsid w:val="007216A9"/>
    <w:rsid w:val="00723996"/>
    <w:rsid w:val="00723DED"/>
    <w:rsid w:val="00724264"/>
    <w:rsid w:val="00731A8F"/>
    <w:rsid w:val="00733775"/>
    <w:rsid w:val="00735292"/>
    <w:rsid w:val="007362FD"/>
    <w:rsid w:val="00741A34"/>
    <w:rsid w:val="0074244C"/>
    <w:rsid w:val="00744B21"/>
    <w:rsid w:val="00745CCA"/>
    <w:rsid w:val="0075132F"/>
    <w:rsid w:val="007519F1"/>
    <w:rsid w:val="00752772"/>
    <w:rsid w:val="00752B9D"/>
    <w:rsid w:val="0075390E"/>
    <w:rsid w:val="0076291D"/>
    <w:rsid w:val="00765C08"/>
    <w:rsid w:val="0076605A"/>
    <w:rsid w:val="007667BF"/>
    <w:rsid w:val="007729AE"/>
    <w:rsid w:val="00776FC7"/>
    <w:rsid w:val="00780E73"/>
    <w:rsid w:val="00781002"/>
    <w:rsid w:val="007811AD"/>
    <w:rsid w:val="00782454"/>
    <w:rsid w:val="0078338E"/>
    <w:rsid w:val="0078521B"/>
    <w:rsid w:val="00785B07"/>
    <w:rsid w:val="00785E22"/>
    <w:rsid w:val="00785FF1"/>
    <w:rsid w:val="00791391"/>
    <w:rsid w:val="00792010"/>
    <w:rsid w:val="007972B5"/>
    <w:rsid w:val="007A03F3"/>
    <w:rsid w:val="007A1A9D"/>
    <w:rsid w:val="007A294D"/>
    <w:rsid w:val="007A2D45"/>
    <w:rsid w:val="007A3AC8"/>
    <w:rsid w:val="007A5117"/>
    <w:rsid w:val="007A7046"/>
    <w:rsid w:val="007A74B3"/>
    <w:rsid w:val="007A7DD0"/>
    <w:rsid w:val="007B2E46"/>
    <w:rsid w:val="007B51AF"/>
    <w:rsid w:val="007B7F9E"/>
    <w:rsid w:val="007C1F09"/>
    <w:rsid w:val="007C6256"/>
    <w:rsid w:val="007C7598"/>
    <w:rsid w:val="007D1382"/>
    <w:rsid w:val="007D16E5"/>
    <w:rsid w:val="007D598E"/>
    <w:rsid w:val="007D7BDC"/>
    <w:rsid w:val="007E3DDD"/>
    <w:rsid w:val="007E4604"/>
    <w:rsid w:val="00801207"/>
    <w:rsid w:val="00802BA5"/>
    <w:rsid w:val="008074B1"/>
    <w:rsid w:val="0081082A"/>
    <w:rsid w:val="00814094"/>
    <w:rsid w:val="00815744"/>
    <w:rsid w:val="008245CB"/>
    <w:rsid w:val="00825943"/>
    <w:rsid w:val="008269AB"/>
    <w:rsid w:val="00826C6E"/>
    <w:rsid w:val="008270BF"/>
    <w:rsid w:val="00831CDD"/>
    <w:rsid w:val="008326F3"/>
    <w:rsid w:val="00834461"/>
    <w:rsid w:val="00835972"/>
    <w:rsid w:val="00835B04"/>
    <w:rsid w:val="0084059E"/>
    <w:rsid w:val="008405B4"/>
    <w:rsid w:val="00842A1E"/>
    <w:rsid w:val="00842BB1"/>
    <w:rsid w:val="00850D2A"/>
    <w:rsid w:val="008531B0"/>
    <w:rsid w:val="00855FD2"/>
    <w:rsid w:val="00856902"/>
    <w:rsid w:val="00862970"/>
    <w:rsid w:val="0086394C"/>
    <w:rsid w:val="00864BDA"/>
    <w:rsid w:val="008658E1"/>
    <w:rsid w:val="00872C85"/>
    <w:rsid w:val="00877A39"/>
    <w:rsid w:val="00882040"/>
    <w:rsid w:val="008847AE"/>
    <w:rsid w:val="00884895"/>
    <w:rsid w:val="00885825"/>
    <w:rsid w:val="00885B86"/>
    <w:rsid w:val="00886BA4"/>
    <w:rsid w:val="00887A64"/>
    <w:rsid w:val="00887DBC"/>
    <w:rsid w:val="00891E41"/>
    <w:rsid w:val="0089380C"/>
    <w:rsid w:val="00897EF1"/>
    <w:rsid w:val="008A1DCD"/>
    <w:rsid w:val="008A2775"/>
    <w:rsid w:val="008A5C0A"/>
    <w:rsid w:val="008A5EC5"/>
    <w:rsid w:val="008A7594"/>
    <w:rsid w:val="008B0B9F"/>
    <w:rsid w:val="008B3699"/>
    <w:rsid w:val="008B3B8F"/>
    <w:rsid w:val="008B46D7"/>
    <w:rsid w:val="008B77DD"/>
    <w:rsid w:val="008C0332"/>
    <w:rsid w:val="008C1722"/>
    <w:rsid w:val="008C687C"/>
    <w:rsid w:val="008D0E19"/>
    <w:rsid w:val="008D1CAE"/>
    <w:rsid w:val="008D2A9D"/>
    <w:rsid w:val="008D3686"/>
    <w:rsid w:val="008D3B19"/>
    <w:rsid w:val="008D4F8B"/>
    <w:rsid w:val="008D6996"/>
    <w:rsid w:val="008D74E9"/>
    <w:rsid w:val="008D79AD"/>
    <w:rsid w:val="008D79FA"/>
    <w:rsid w:val="008E17F9"/>
    <w:rsid w:val="008E2DFA"/>
    <w:rsid w:val="008E3246"/>
    <w:rsid w:val="008F228B"/>
    <w:rsid w:val="008F3A2F"/>
    <w:rsid w:val="00903EA6"/>
    <w:rsid w:val="00904F8C"/>
    <w:rsid w:val="009056B8"/>
    <w:rsid w:val="009079A2"/>
    <w:rsid w:val="009119C5"/>
    <w:rsid w:val="00921E77"/>
    <w:rsid w:val="00923480"/>
    <w:rsid w:val="00930A53"/>
    <w:rsid w:val="00931E60"/>
    <w:rsid w:val="00932824"/>
    <w:rsid w:val="00934D6B"/>
    <w:rsid w:val="0093613C"/>
    <w:rsid w:val="009414D6"/>
    <w:rsid w:val="00943D98"/>
    <w:rsid w:val="009456EE"/>
    <w:rsid w:val="00947E5D"/>
    <w:rsid w:val="009502C5"/>
    <w:rsid w:val="0095113C"/>
    <w:rsid w:val="00952350"/>
    <w:rsid w:val="00954DDF"/>
    <w:rsid w:val="00957E04"/>
    <w:rsid w:val="00961F57"/>
    <w:rsid w:val="00961FB6"/>
    <w:rsid w:val="00963FDF"/>
    <w:rsid w:val="009661FE"/>
    <w:rsid w:val="00973DEB"/>
    <w:rsid w:val="00974B05"/>
    <w:rsid w:val="00975B77"/>
    <w:rsid w:val="0097636C"/>
    <w:rsid w:val="00977E8E"/>
    <w:rsid w:val="00977F57"/>
    <w:rsid w:val="00980547"/>
    <w:rsid w:val="00980722"/>
    <w:rsid w:val="00987D7B"/>
    <w:rsid w:val="00992218"/>
    <w:rsid w:val="0099464C"/>
    <w:rsid w:val="00995866"/>
    <w:rsid w:val="00995AE6"/>
    <w:rsid w:val="009A0779"/>
    <w:rsid w:val="009A4DB1"/>
    <w:rsid w:val="009A54E7"/>
    <w:rsid w:val="009B0EF7"/>
    <w:rsid w:val="009B3C68"/>
    <w:rsid w:val="009B3D3C"/>
    <w:rsid w:val="009B48C0"/>
    <w:rsid w:val="009B4EF5"/>
    <w:rsid w:val="009B6180"/>
    <w:rsid w:val="009B7F5E"/>
    <w:rsid w:val="009C1AA8"/>
    <w:rsid w:val="009C2FD5"/>
    <w:rsid w:val="009C4F64"/>
    <w:rsid w:val="009C5C42"/>
    <w:rsid w:val="009C691A"/>
    <w:rsid w:val="009C7963"/>
    <w:rsid w:val="009C7BB9"/>
    <w:rsid w:val="009D1223"/>
    <w:rsid w:val="009D3537"/>
    <w:rsid w:val="009D358A"/>
    <w:rsid w:val="009D43B6"/>
    <w:rsid w:val="009D43E9"/>
    <w:rsid w:val="009D4646"/>
    <w:rsid w:val="009D4A2F"/>
    <w:rsid w:val="009D6751"/>
    <w:rsid w:val="009D6FED"/>
    <w:rsid w:val="009E0652"/>
    <w:rsid w:val="009E12A0"/>
    <w:rsid w:val="009E2E78"/>
    <w:rsid w:val="009E3260"/>
    <w:rsid w:val="009E70B8"/>
    <w:rsid w:val="009E70E2"/>
    <w:rsid w:val="009F1E48"/>
    <w:rsid w:val="009F4901"/>
    <w:rsid w:val="009F6B65"/>
    <w:rsid w:val="009F7F20"/>
    <w:rsid w:val="00A00E57"/>
    <w:rsid w:val="00A07F35"/>
    <w:rsid w:val="00A20BBE"/>
    <w:rsid w:val="00A210F1"/>
    <w:rsid w:val="00A21AEB"/>
    <w:rsid w:val="00A22F78"/>
    <w:rsid w:val="00A24D82"/>
    <w:rsid w:val="00A26058"/>
    <w:rsid w:val="00A26A5E"/>
    <w:rsid w:val="00A26A8D"/>
    <w:rsid w:val="00A273DF"/>
    <w:rsid w:val="00A2772F"/>
    <w:rsid w:val="00A3772C"/>
    <w:rsid w:val="00A43780"/>
    <w:rsid w:val="00A455B9"/>
    <w:rsid w:val="00A45794"/>
    <w:rsid w:val="00A460B9"/>
    <w:rsid w:val="00A476FC"/>
    <w:rsid w:val="00A51083"/>
    <w:rsid w:val="00A52514"/>
    <w:rsid w:val="00A52FD9"/>
    <w:rsid w:val="00A5352B"/>
    <w:rsid w:val="00A573AF"/>
    <w:rsid w:val="00A60E27"/>
    <w:rsid w:val="00A61D91"/>
    <w:rsid w:val="00A656B0"/>
    <w:rsid w:val="00A67083"/>
    <w:rsid w:val="00A671E9"/>
    <w:rsid w:val="00A67535"/>
    <w:rsid w:val="00A67ABF"/>
    <w:rsid w:val="00A67B62"/>
    <w:rsid w:val="00A71E9F"/>
    <w:rsid w:val="00A7278C"/>
    <w:rsid w:val="00A77631"/>
    <w:rsid w:val="00A8150B"/>
    <w:rsid w:val="00A823D5"/>
    <w:rsid w:val="00A853FD"/>
    <w:rsid w:val="00A86124"/>
    <w:rsid w:val="00A86CC9"/>
    <w:rsid w:val="00A87D9C"/>
    <w:rsid w:val="00A902A6"/>
    <w:rsid w:val="00A9066A"/>
    <w:rsid w:val="00A911A3"/>
    <w:rsid w:val="00A93DAA"/>
    <w:rsid w:val="00A93E54"/>
    <w:rsid w:val="00A968CA"/>
    <w:rsid w:val="00A97873"/>
    <w:rsid w:val="00A97FB7"/>
    <w:rsid w:val="00AA268C"/>
    <w:rsid w:val="00AA5F00"/>
    <w:rsid w:val="00AA696A"/>
    <w:rsid w:val="00AA7172"/>
    <w:rsid w:val="00AA75D9"/>
    <w:rsid w:val="00AA7C48"/>
    <w:rsid w:val="00AB79A7"/>
    <w:rsid w:val="00AB7A4E"/>
    <w:rsid w:val="00AC66F9"/>
    <w:rsid w:val="00AD018C"/>
    <w:rsid w:val="00AD29B8"/>
    <w:rsid w:val="00AD335B"/>
    <w:rsid w:val="00AD4C88"/>
    <w:rsid w:val="00AE137A"/>
    <w:rsid w:val="00AE583D"/>
    <w:rsid w:val="00AE6050"/>
    <w:rsid w:val="00AF024E"/>
    <w:rsid w:val="00AF07DE"/>
    <w:rsid w:val="00AF2712"/>
    <w:rsid w:val="00AF593B"/>
    <w:rsid w:val="00B01B03"/>
    <w:rsid w:val="00B02231"/>
    <w:rsid w:val="00B05C43"/>
    <w:rsid w:val="00B05DFF"/>
    <w:rsid w:val="00B10989"/>
    <w:rsid w:val="00B13895"/>
    <w:rsid w:val="00B159BB"/>
    <w:rsid w:val="00B208FF"/>
    <w:rsid w:val="00B20CF6"/>
    <w:rsid w:val="00B2119C"/>
    <w:rsid w:val="00B2179E"/>
    <w:rsid w:val="00B30A06"/>
    <w:rsid w:val="00B315BB"/>
    <w:rsid w:val="00B341E7"/>
    <w:rsid w:val="00B34D0A"/>
    <w:rsid w:val="00B44433"/>
    <w:rsid w:val="00B46F88"/>
    <w:rsid w:val="00B50A1F"/>
    <w:rsid w:val="00B50AB5"/>
    <w:rsid w:val="00B53649"/>
    <w:rsid w:val="00B54286"/>
    <w:rsid w:val="00B55644"/>
    <w:rsid w:val="00B60870"/>
    <w:rsid w:val="00B60A35"/>
    <w:rsid w:val="00B60AC0"/>
    <w:rsid w:val="00B612AD"/>
    <w:rsid w:val="00B61F67"/>
    <w:rsid w:val="00B64727"/>
    <w:rsid w:val="00B66F06"/>
    <w:rsid w:val="00B67A70"/>
    <w:rsid w:val="00B709EA"/>
    <w:rsid w:val="00B71770"/>
    <w:rsid w:val="00B71BDC"/>
    <w:rsid w:val="00B767A3"/>
    <w:rsid w:val="00B77B0D"/>
    <w:rsid w:val="00B801E0"/>
    <w:rsid w:val="00B80FF2"/>
    <w:rsid w:val="00B83AD0"/>
    <w:rsid w:val="00B85882"/>
    <w:rsid w:val="00B862DC"/>
    <w:rsid w:val="00B86E28"/>
    <w:rsid w:val="00B87F8D"/>
    <w:rsid w:val="00B903DB"/>
    <w:rsid w:val="00B90E75"/>
    <w:rsid w:val="00B941AF"/>
    <w:rsid w:val="00B95AF0"/>
    <w:rsid w:val="00B95E79"/>
    <w:rsid w:val="00B97EBB"/>
    <w:rsid w:val="00BA1B4F"/>
    <w:rsid w:val="00BA2C45"/>
    <w:rsid w:val="00BA32BB"/>
    <w:rsid w:val="00BA4FDF"/>
    <w:rsid w:val="00BA5350"/>
    <w:rsid w:val="00BA6EC0"/>
    <w:rsid w:val="00BB1BC2"/>
    <w:rsid w:val="00BB3ED8"/>
    <w:rsid w:val="00BB469C"/>
    <w:rsid w:val="00BB6226"/>
    <w:rsid w:val="00BC3F4B"/>
    <w:rsid w:val="00BC4F5E"/>
    <w:rsid w:val="00BC54D6"/>
    <w:rsid w:val="00BC6783"/>
    <w:rsid w:val="00BC7094"/>
    <w:rsid w:val="00BD0114"/>
    <w:rsid w:val="00BD357F"/>
    <w:rsid w:val="00BD3851"/>
    <w:rsid w:val="00BD500A"/>
    <w:rsid w:val="00BE0790"/>
    <w:rsid w:val="00BE5585"/>
    <w:rsid w:val="00BE6DD4"/>
    <w:rsid w:val="00BF038E"/>
    <w:rsid w:val="00BF154A"/>
    <w:rsid w:val="00BF1F44"/>
    <w:rsid w:val="00BF27F7"/>
    <w:rsid w:val="00BF5B85"/>
    <w:rsid w:val="00C004CA"/>
    <w:rsid w:val="00C01F08"/>
    <w:rsid w:val="00C043B3"/>
    <w:rsid w:val="00C11453"/>
    <w:rsid w:val="00C125E9"/>
    <w:rsid w:val="00C12EDD"/>
    <w:rsid w:val="00C14E8D"/>
    <w:rsid w:val="00C14FB8"/>
    <w:rsid w:val="00C1603C"/>
    <w:rsid w:val="00C177F0"/>
    <w:rsid w:val="00C17FA1"/>
    <w:rsid w:val="00C2098F"/>
    <w:rsid w:val="00C20EAD"/>
    <w:rsid w:val="00C214FE"/>
    <w:rsid w:val="00C217E6"/>
    <w:rsid w:val="00C24D00"/>
    <w:rsid w:val="00C25B75"/>
    <w:rsid w:val="00C26112"/>
    <w:rsid w:val="00C31300"/>
    <w:rsid w:val="00C32342"/>
    <w:rsid w:val="00C327B9"/>
    <w:rsid w:val="00C34F14"/>
    <w:rsid w:val="00C350B9"/>
    <w:rsid w:val="00C3614C"/>
    <w:rsid w:val="00C36F41"/>
    <w:rsid w:val="00C37FA1"/>
    <w:rsid w:val="00C415CD"/>
    <w:rsid w:val="00C41975"/>
    <w:rsid w:val="00C425B3"/>
    <w:rsid w:val="00C43061"/>
    <w:rsid w:val="00C430FC"/>
    <w:rsid w:val="00C46A7B"/>
    <w:rsid w:val="00C47216"/>
    <w:rsid w:val="00C5172F"/>
    <w:rsid w:val="00C532CE"/>
    <w:rsid w:val="00C55BAE"/>
    <w:rsid w:val="00C62FEF"/>
    <w:rsid w:val="00C6448B"/>
    <w:rsid w:val="00C6490D"/>
    <w:rsid w:val="00C744C2"/>
    <w:rsid w:val="00C7494D"/>
    <w:rsid w:val="00C76745"/>
    <w:rsid w:val="00C80F3F"/>
    <w:rsid w:val="00C81143"/>
    <w:rsid w:val="00C82C9B"/>
    <w:rsid w:val="00C83E8C"/>
    <w:rsid w:val="00C8635C"/>
    <w:rsid w:val="00C86AD3"/>
    <w:rsid w:val="00C92FB1"/>
    <w:rsid w:val="00C94827"/>
    <w:rsid w:val="00C97395"/>
    <w:rsid w:val="00CA4A81"/>
    <w:rsid w:val="00CA70BB"/>
    <w:rsid w:val="00CA735B"/>
    <w:rsid w:val="00CB166D"/>
    <w:rsid w:val="00CB50B2"/>
    <w:rsid w:val="00CC1180"/>
    <w:rsid w:val="00CC1BB6"/>
    <w:rsid w:val="00CC3903"/>
    <w:rsid w:val="00CC4F35"/>
    <w:rsid w:val="00CC52FE"/>
    <w:rsid w:val="00CC7103"/>
    <w:rsid w:val="00CD19AA"/>
    <w:rsid w:val="00CD47B6"/>
    <w:rsid w:val="00CD71CF"/>
    <w:rsid w:val="00CE06A0"/>
    <w:rsid w:val="00CE3F85"/>
    <w:rsid w:val="00CF15E9"/>
    <w:rsid w:val="00CF1D55"/>
    <w:rsid w:val="00CF5952"/>
    <w:rsid w:val="00CF5EE6"/>
    <w:rsid w:val="00D0159E"/>
    <w:rsid w:val="00D04A9B"/>
    <w:rsid w:val="00D057A6"/>
    <w:rsid w:val="00D06648"/>
    <w:rsid w:val="00D068CB"/>
    <w:rsid w:val="00D07EF5"/>
    <w:rsid w:val="00D11F89"/>
    <w:rsid w:val="00D1447E"/>
    <w:rsid w:val="00D15E46"/>
    <w:rsid w:val="00D16755"/>
    <w:rsid w:val="00D17F66"/>
    <w:rsid w:val="00D21CE6"/>
    <w:rsid w:val="00D2241F"/>
    <w:rsid w:val="00D26441"/>
    <w:rsid w:val="00D26872"/>
    <w:rsid w:val="00D273FF"/>
    <w:rsid w:val="00D30CE1"/>
    <w:rsid w:val="00D32B8B"/>
    <w:rsid w:val="00D33F7A"/>
    <w:rsid w:val="00D3481F"/>
    <w:rsid w:val="00D35DE5"/>
    <w:rsid w:val="00D36E49"/>
    <w:rsid w:val="00D4476C"/>
    <w:rsid w:val="00D475D1"/>
    <w:rsid w:val="00D47DA9"/>
    <w:rsid w:val="00D47ED8"/>
    <w:rsid w:val="00D57236"/>
    <w:rsid w:val="00D60200"/>
    <w:rsid w:val="00D609E4"/>
    <w:rsid w:val="00D6129B"/>
    <w:rsid w:val="00D64027"/>
    <w:rsid w:val="00D65770"/>
    <w:rsid w:val="00D663FD"/>
    <w:rsid w:val="00D678CB"/>
    <w:rsid w:val="00D71197"/>
    <w:rsid w:val="00D74310"/>
    <w:rsid w:val="00D75FF2"/>
    <w:rsid w:val="00D7610C"/>
    <w:rsid w:val="00D778A2"/>
    <w:rsid w:val="00D823F1"/>
    <w:rsid w:val="00D838A2"/>
    <w:rsid w:val="00D847C2"/>
    <w:rsid w:val="00D87D18"/>
    <w:rsid w:val="00D903F4"/>
    <w:rsid w:val="00D917A1"/>
    <w:rsid w:val="00D929E4"/>
    <w:rsid w:val="00D9308A"/>
    <w:rsid w:val="00D93745"/>
    <w:rsid w:val="00D9781B"/>
    <w:rsid w:val="00DA1C01"/>
    <w:rsid w:val="00DA2CAA"/>
    <w:rsid w:val="00DA45EB"/>
    <w:rsid w:val="00DA5447"/>
    <w:rsid w:val="00DA5E41"/>
    <w:rsid w:val="00DB5D9C"/>
    <w:rsid w:val="00DC0782"/>
    <w:rsid w:val="00DC10B9"/>
    <w:rsid w:val="00DC1AA3"/>
    <w:rsid w:val="00DC32D5"/>
    <w:rsid w:val="00DC479E"/>
    <w:rsid w:val="00DC6E52"/>
    <w:rsid w:val="00DC74E2"/>
    <w:rsid w:val="00DD0F10"/>
    <w:rsid w:val="00DE11C0"/>
    <w:rsid w:val="00DE263A"/>
    <w:rsid w:val="00DE3CCB"/>
    <w:rsid w:val="00DE50BD"/>
    <w:rsid w:val="00DE6FE3"/>
    <w:rsid w:val="00DF0344"/>
    <w:rsid w:val="00DF17CF"/>
    <w:rsid w:val="00DF2990"/>
    <w:rsid w:val="00DF2AE8"/>
    <w:rsid w:val="00DF6559"/>
    <w:rsid w:val="00DF7CE5"/>
    <w:rsid w:val="00E007BE"/>
    <w:rsid w:val="00E01907"/>
    <w:rsid w:val="00E021C6"/>
    <w:rsid w:val="00E03050"/>
    <w:rsid w:val="00E0337D"/>
    <w:rsid w:val="00E0465B"/>
    <w:rsid w:val="00E050B2"/>
    <w:rsid w:val="00E05CE5"/>
    <w:rsid w:val="00E05F6B"/>
    <w:rsid w:val="00E06032"/>
    <w:rsid w:val="00E0660C"/>
    <w:rsid w:val="00E139A3"/>
    <w:rsid w:val="00E15E9E"/>
    <w:rsid w:val="00E17C47"/>
    <w:rsid w:val="00E2096A"/>
    <w:rsid w:val="00E2321A"/>
    <w:rsid w:val="00E25DF2"/>
    <w:rsid w:val="00E27AAF"/>
    <w:rsid w:val="00E3017A"/>
    <w:rsid w:val="00E306DF"/>
    <w:rsid w:val="00E312E9"/>
    <w:rsid w:val="00E34435"/>
    <w:rsid w:val="00E34524"/>
    <w:rsid w:val="00E367B4"/>
    <w:rsid w:val="00E36F54"/>
    <w:rsid w:val="00E413B9"/>
    <w:rsid w:val="00E44568"/>
    <w:rsid w:val="00E44FC0"/>
    <w:rsid w:val="00E46045"/>
    <w:rsid w:val="00E464D5"/>
    <w:rsid w:val="00E4693C"/>
    <w:rsid w:val="00E470FC"/>
    <w:rsid w:val="00E50D2A"/>
    <w:rsid w:val="00E53A50"/>
    <w:rsid w:val="00E54892"/>
    <w:rsid w:val="00E572F4"/>
    <w:rsid w:val="00E574FC"/>
    <w:rsid w:val="00E60432"/>
    <w:rsid w:val="00E614FE"/>
    <w:rsid w:val="00E62288"/>
    <w:rsid w:val="00E63525"/>
    <w:rsid w:val="00E63E9B"/>
    <w:rsid w:val="00E67F1C"/>
    <w:rsid w:val="00E700B7"/>
    <w:rsid w:val="00E718D9"/>
    <w:rsid w:val="00E71C04"/>
    <w:rsid w:val="00E7254B"/>
    <w:rsid w:val="00E72847"/>
    <w:rsid w:val="00E72D98"/>
    <w:rsid w:val="00E746E1"/>
    <w:rsid w:val="00E74BA6"/>
    <w:rsid w:val="00E76F18"/>
    <w:rsid w:val="00E81151"/>
    <w:rsid w:val="00E82BF9"/>
    <w:rsid w:val="00E85196"/>
    <w:rsid w:val="00E859DA"/>
    <w:rsid w:val="00E86F81"/>
    <w:rsid w:val="00E87B00"/>
    <w:rsid w:val="00E90069"/>
    <w:rsid w:val="00E90C44"/>
    <w:rsid w:val="00E942EE"/>
    <w:rsid w:val="00E97583"/>
    <w:rsid w:val="00E979D9"/>
    <w:rsid w:val="00EA031B"/>
    <w:rsid w:val="00EA07D6"/>
    <w:rsid w:val="00EA1714"/>
    <w:rsid w:val="00EA464B"/>
    <w:rsid w:val="00EA583A"/>
    <w:rsid w:val="00EA7F4A"/>
    <w:rsid w:val="00EB0B7B"/>
    <w:rsid w:val="00EB18AC"/>
    <w:rsid w:val="00EB1960"/>
    <w:rsid w:val="00EB359A"/>
    <w:rsid w:val="00EB45F1"/>
    <w:rsid w:val="00EB651D"/>
    <w:rsid w:val="00EC06B1"/>
    <w:rsid w:val="00EC17DC"/>
    <w:rsid w:val="00EC5A89"/>
    <w:rsid w:val="00ED0000"/>
    <w:rsid w:val="00ED6E88"/>
    <w:rsid w:val="00EE485D"/>
    <w:rsid w:val="00EE577F"/>
    <w:rsid w:val="00EF11AE"/>
    <w:rsid w:val="00EF131B"/>
    <w:rsid w:val="00EF4D6E"/>
    <w:rsid w:val="00EF65AA"/>
    <w:rsid w:val="00EF7F33"/>
    <w:rsid w:val="00F00C4A"/>
    <w:rsid w:val="00F025A7"/>
    <w:rsid w:val="00F070A0"/>
    <w:rsid w:val="00F07E66"/>
    <w:rsid w:val="00F11EE9"/>
    <w:rsid w:val="00F122FF"/>
    <w:rsid w:val="00F16AED"/>
    <w:rsid w:val="00F23C41"/>
    <w:rsid w:val="00F26844"/>
    <w:rsid w:val="00F26F20"/>
    <w:rsid w:val="00F271E8"/>
    <w:rsid w:val="00F30ACE"/>
    <w:rsid w:val="00F30C03"/>
    <w:rsid w:val="00F3173B"/>
    <w:rsid w:val="00F328D6"/>
    <w:rsid w:val="00F33389"/>
    <w:rsid w:val="00F3370E"/>
    <w:rsid w:val="00F361EC"/>
    <w:rsid w:val="00F369AF"/>
    <w:rsid w:val="00F441A1"/>
    <w:rsid w:val="00F447E8"/>
    <w:rsid w:val="00F44D12"/>
    <w:rsid w:val="00F466DD"/>
    <w:rsid w:val="00F47728"/>
    <w:rsid w:val="00F5029B"/>
    <w:rsid w:val="00F502AA"/>
    <w:rsid w:val="00F54439"/>
    <w:rsid w:val="00F57D2D"/>
    <w:rsid w:val="00F669DD"/>
    <w:rsid w:val="00F70179"/>
    <w:rsid w:val="00F7017D"/>
    <w:rsid w:val="00F7234F"/>
    <w:rsid w:val="00F723CB"/>
    <w:rsid w:val="00F74005"/>
    <w:rsid w:val="00F749CF"/>
    <w:rsid w:val="00F750CF"/>
    <w:rsid w:val="00F752EF"/>
    <w:rsid w:val="00F76F01"/>
    <w:rsid w:val="00F8371B"/>
    <w:rsid w:val="00F8453C"/>
    <w:rsid w:val="00F86176"/>
    <w:rsid w:val="00F87638"/>
    <w:rsid w:val="00F87682"/>
    <w:rsid w:val="00F9140D"/>
    <w:rsid w:val="00F93F62"/>
    <w:rsid w:val="00F9616A"/>
    <w:rsid w:val="00FA3850"/>
    <w:rsid w:val="00FA4297"/>
    <w:rsid w:val="00FA70B5"/>
    <w:rsid w:val="00FB223B"/>
    <w:rsid w:val="00FB3163"/>
    <w:rsid w:val="00FB4221"/>
    <w:rsid w:val="00FB5FBA"/>
    <w:rsid w:val="00FB6C30"/>
    <w:rsid w:val="00FC1560"/>
    <w:rsid w:val="00FC4940"/>
    <w:rsid w:val="00FC7268"/>
    <w:rsid w:val="00FD0833"/>
    <w:rsid w:val="00FD23F8"/>
    <w:rsid w:val="00FD29F1"/>
    <w:rsid w:val="00FD370C"/>
    <w:rsid w:val="00FD6908"/>
    <w:rsid w:val="00FD72BA"/>
    <w:rsid w:val="00FD7887"/>
    <w:rsid w:val="00FD7EF8"/>
    <w:rsid w:val="00FE0C11"/>
    <w:rsid w:val="00FE1532"/>
    <w:rsid w:val="00FE1D9A"/>
    <w:rsid w:val="00FE2710"/>
    <w:rsid w:val="00FE2E9D"/>
    <w:rsid w:val="00FE67FA"/>
    <w:rsid w:val="00FE6BA3"/>
    <w:rsid w:val="00FE735A"/>
    <w:rsid w:val="00FF08C9"/>
    <w:rsid w:val="00FF7791"/>
    <w:rsid w:val="00FF7B10"/>
    <w:rsid w:val="00FF7D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77A3D3"/>
  <w15:chartTrackingRefBased/>
  <w15:docId w15:val="{2B1635D1-6A0B-4FB1-BC3C-186DC5D3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4515"/>
    <w:pPr>
      <w:spacing w:before="120" w:line="360" w:lineRule="auto"/>
      <w:jc w:val="both"/>
    </w:pPr>
    <w:rPr>
      <w:rFonts w:ascii="Arial" w:hAnsi="Arial"/>
      <w:sz w:val="22"/>
      <w:szCs w:val="24"/>
    </w:rPr>
  </w:style>
  <w:style w:type="paragraph" w:styleId="berschrift1">
    <w:name w:val="heading 1"/>
    <w:basedOn w:val="Standard"/>
    <w:next w:val="Standard"/>
    <w:link w:val="berschrift1Zchn"/>
    <w:uiPriority w:val="9"/>
    <w:qFormat/>
    <w:rsid w:val="00A77631"/>
    <w:pPr>
      <w:widowControl w:val="0"/>
      <w:numPr>
        <w:numId w:val="1"/>
      </w:numPr>
      <w:tabs>
        <w:tab w:val="left" w:pos="426"/>
      </w:tabs>
      <w:ind w:left="431" w:hanging="431"/>
      <w:outlineLvl w:val="0"/>
    </w:pPr>
    <w:rPr>
      <w:b/>
      <w:bCs/>
      <w:szCs w:val="28"/>
      <w:lang w:eastAsia="en-US"/>
    </w:rPr>
  </w:style>
  <w:style w:type="paragraph" w:styleId="berschrift2">
    <w:name w:val="heading 2"/>
    <w:basedOn w:val="Standard"/>
    <w:next w:val="Standard"/>
    <w:link w:val="berschrift2Zchn"/>
    <w:uiPriority w:val="9"/>
    <w:unhideWhenUsed/>
    <w:qFormat/>
    <w:rsid w:val="004C41FE"/>
    <w:pPr>
      <w:keepLines/>
      <w:widowControl w:val="0"/>
      <w:numPr>
        <w:ilvl w:val="1"/>
        <w:numId w:val="1"/>
      </w:numPr>
      <w:tabs>
        <w:tab w:val="left" w:pos="567"/>
      </w:tabs>
      <w:ind w:left="567" w:hanging="567"/>
      <w:outlineLvl w:val="1"/>
    </w:pPr>
    <w:rPr>
      <w:rFonts w:cs="Arial"/>
      <w:b/>
      <w:bCs/>
      <w:szCs w:val="22"/>
      <w:lang w:eastAsia="en-US"/>
    </w:rPr>
  </w:style>
  <w:style w:type="paragraph" w:styleId="berschrift3">
    <w:name w:val="heading 3"/>
    <w:basedOn w:val="Standard"/>
    <w:next w:val="Standard"/>
    <w:link w:val="berschrift3Zchn"/>
    <w:uiPriority w:val="9"/>
    <w:unhideWhenUsed/>
    <w:qFormat/>
    <w:rsid w:val="004C41FE"/>
    <w:pPr>
      <w:keepNext/>
      <w:keepLines/>
      <w:numPr>
        <w:ilvl w:val="2"/>
        <w:numId w:val="1"/>
      </w:numPr>
      <w:tabs>
        <w:tab w:val="left" w:pos="567"/>
      </w:tabs>
      <w:spacing w:before="200"/>
      <w:ind w:left="567" w:hanging="567"/>
      <w:outlineLvl w:val="2"/>
    </w:pPr>
    <w:rPr>
      <w:rFonts w:cs="Arial"/>
      <w:b/>
      <w:bCs/>
      <w:szCs w:val="22"/>
      <w:lang w:eastAsia="en-US"/>
    </w:rPr>
  </w:style>
  <w:style w:type="paragraph" w:styleId="berschrift4">
    <w:name w:val="heading 4"/>
    <w:basedOn w:val="Standard"/>
    <w:next w:val="Standard"/>
    <w:link w:val="berschrift4Zchn"/>
    <w:autoRedefine/>
    <w:uiPriority w:val="9"/>
    <w:unhideWhenUsed/>
    <w:qFormat/>
    <w:rsid w:val="00D1447E"/>
    <w:pPr>
      <w:keepNext/>
      <w:keepLines/>
      <w:spacing w:before="200"/>
      <w:outlineLvl w:val="3"/>
    </w:pPr>
    <w:rPr>
      <w:b/>
      <w:bCs/>
      <w:iCs/>
      <w:szCs w:val="22"/>
      <w:lang w:eastAsia="en-US"/>
    </w:rPr>
  </w:style>
  <w:style w:type="paragraph" w:styleId="berschrift5">
    <w:name w:val="heading 5"/>
    <w:basedOn w:val="Standard"/>
    <w:next w:val="Standard"/>
    <w:link w:val="berschrift5Zchn"/>
    <w:uiPriority w:val="9"/>
    <w:semiHidden/>
    <w:unhideWhenUsed/>
    <w:qFormat/>
    <w:rsid w:val="00A77631"/>
    <w:pPr>
      <w:keepNext/>
      <w:keepLines/>
      <w:numPr>
        <w:ilvl w:val="4"/>
        <w:numId w:val="1"/>
      </w:numPr>
      <w:spacing w:before="200"/>
      <w:outlineLvl w:val="4"/>
    </w:pPr>
    <w:rPr>
      <w:rFonts w:ascii="Cambria" w:hAnsi="Cambria"/>
      <w:color w:val="243F60"/>
      <w:szCs w:val="22"/>
      <w:lang w:eastAsia="en-US"/>
    </w:rPr>
  </w:style>
  <w:style w:type="paragraph" w:styleId="berschrift6">
    <w:name w:val="heading 6"/>
    <w:basedOn w:val="Standard"/>
    <w:next w:val="Standard"/>
    <w:link w:val="berschrift6Zchn"/>
    <w:uiPriority w:val="9"/>
    <w:semiHidden/>
    <w:unhideWhenUsed/>
    <w:qFormat/>
    <w:rsid w:val="00A77631"/>
    <w:pPr>
      <w:keepNext/>
      <w:keepLines/>
      <w:numPr>
        <w:ilvl w:val="5"/>
        <w:numId w:val="1"/>
      </w:numPr>
      <w:spacing w:before="200"/>
      <w:outlineLvl w:val="5"/>
    </w:pPr>
    <w:rPr>
      <w:rFonts w:ascii="Cambria" w:hAnsi="Cambria"/>
      <w:i/>
      <w:iCs/>
      <w:color w:val="243F60"/>
      <w:szCs w:val="22"/>
      <w:lang w:eastAsia="en-US"/>
    </w:rPr>
  </w:style>
  <w:style w:type="paragraph" w:styleId="berschrift7">
    <w:name w:val="heading 7"/>
    <w:basedOn w:val="Standard"/>
    <w:next w:val="Standard"/>
    <w:link w:val="berschrift7Zchn"/>
    <w:uiPriority w:val="9"/>
    <w:semiHidden/>
    <w:unhideWhenUsed/>
    <w:qFormat/>
    <w:rsid w:val="00A77631"/>
    <w:pPr>
      <w:keepNext/>
      <w:keepLines/>
      <w:numPr>
        <w:ilvl w:val="6"/>
        <w:numId w:val="1"/>
      </w:numPr>
      <w:spacing w:before="200"/>
      <w:outlineLvl w:val="6"/>
    </w:pPr>
    <w:rPr>
      <w:rFonts w:ascii="Cambria" w:hAnsi="Cambria"/>
      <w:i/>
      <w:iCs/>
      <w:color w:val="404040"/>
      <w:szCs w:val="22"/>
      <w:lang w:eastAsia="en-US"/>
    </w:rPr>
  </w:style>
  <w:style w:type="paragraph" w:styleId="berschrift8">
    <w:name w:val="heading 8"/>
    <w:basedOn w:val="Standard"/>
    <w:next w:val="Standard"/>
    <w:link w:val="berschrift8Zchn"/>
    <w:uiPriority w:val="9"/>
    <w:semiHidden/>
    <w:unhideWhenUsed/>
    <w:qFormat/>
    <w:rsid w:val="00A77631"/>
    <w:pPr>
      <w:keepNext/>
      <w:keepLines/>
      <w:numPr>
        <w:ilvl w:val="7"/>
        <w:numId w:val="1"/>
      </w:numPr>
      <w:spacing w:before="200"/>
      <w:outlineLvl w:val="7"/>
    </w:pPr>
    <w:rPr>
      <w:rFonts w:ascii="Cambria" w:hAnsi="Cambria"/>
      <w:color w:val="404040"/>
      <w:sz w:val="20"/>
      <w:szCs w:val="20"/>
      <w:lang w:eastAsia="en-US"/>
    </w:rPr>
  </w:style>
  <w:style w:type="paragraph" w:styleId="berschrift9">
    <w:name w:val="heading 9"/>
    <w:basedOn w:val="Standard"/>
    <w:next w:val="Standard"/>
    <w:link w:val="berschrift9Zchn"/>
    <w:uiPriority w:val="9"/>
    <w:semiHidden/>
    <w:unhideWhenUsed/>
    <w:qFormat/>
    <w:rsid w:val="00A77631"/>
    <w:pPr>
      <w:keepNext/>
      <w:keepLines/>
      <w:numPr>
        <w:ilvl w:val="8"/>
        <w:numId w:val="1"/>
      </w:numPr>
      <w:spacing w:before="200"/>
      <w:outlineLvl w:val="8"/>
    </w:pPr>
    <w:rPr>
      <w:rFonts w:ascii="Cambria" w:hAnsi="Cambria"/>
      <w:i/>
      <w:iCs/>
      <w:color w:val="404040"/>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77631"/>
    <w:rPr>
      <w:rFonts w:ascii="Arial" w:hAnsi="Arial"/>
      <w:b/>
      <w:bCs/>
      <w:sz w:val="22"/>
      <w:szCs w:val="28"/>
      <w:lang w:eastAsia="en-US"/>
    </w:rPr>
  </w:style>
  <w:style w:type="character" w:customStyle="1" w:styleId="berschrift2Zchn">
    <w:name w:val="Überschrift 2 Zchn"/>
    <w:basedOn w:val="Absatz-Standardschriftart"/>
    <w:link w:val="berschrift2"/>
    <w:uiPriority w:val="9"/>
    <w:locked/>
    <w:rsid w:val="004C41FE"/>
    <w:rPr>
      <w:rFonts w:ascii="Arial" w:hAnsi="Arial" w:cs="Arial"/>
      <w:b/>
      <w:bCs/>
      <w:sz w:val="22"/>
      <w:szCs w:val="22"/>
      <w:lang w:eastAsia="en-US"/>
    </w:rPr>
  </w:style>
  <w:style w:type="character" w:customStyle="1" w:styleId="berschrift3Zchn">
    <w:name w:val="Überschrift 3 Zchn"/>
    <w:basedOn w:val="Absatz-Standardschriftart"/>
    <w:link w:val="berschrift3"/>
    <w:uiPriority w:val="9"/>
    <w:locked/>
    <w:rsid w:val="004C41FE"/>
    <w:rPr>
      <w:rFonts w:ascii="Arial" w:hAnsi="Arial" w:cs="Arial"/>
      <w:b/>
      <w:bCs/>
      <w:sz w:val="22"/>
      <w:szCs w:val="22"/>
      <w:lang w:eastAsia="en-US"/>
    </w:rPr>
  </w:style>
  <w:style w:type="character" w:customStyle="1" w:styleId="berschrift4Zchn">
    <w:name w:val="Überschrift 4 Zchn"/>
    <w:basedOn w:val="Absatz-Standardschriftart"/>
    <w:link w:val="berschrift4"/>
    <w:uiPriority w:val="9"/>
    <w:locked/>
    <w:rsid w:val="00D1447E"/>
    <w:rPr>
      <w:rFonts w:ascii="Arial" w:hAnsi="Arial"/>
      <w:b/>
      <w:bCs/>
      <w:iCs/>
      <w:sz w:val="22"/>
      <w:szCs w:val="22"/>
      <w:lang w:eastAsia="en-US"/>
    </w:rPr>
  </w:style>
  <w:style w:type="character" w:customStyle="1" w:styleId="berschrift5Zchn">
    <w:name w:val="Überschrift 5 Zchn"/>
    <w:basedOn w:val="Absatz-Standardschriftart"/>
    <w:link w:val="berschrift5"/>
    <w:uiPriority w:val="9"/>
    <w:semiHidden/>
    <w:locked/>
    <w:rsid w:val="00A77631"/>
    <w:rPr>
      <w:rFonts w:ascii="Cambria" w:hAnsi="Cambria"/>
      <w:color w:val="243F60"/>
      <w:sz w:val="22"/>
      <w:szCs w:val="22"/>
      <w:lang w:eastAsia="en-US"/>
    </w:rPr>
  </w:style>
  <w:style w:type="character" w:customStyle="1" w:styleId="berschrift6Zchn">
    <w:name w:val="Überschrift 6 Zchn"/>
    <w:basedOn w:val="Absatz-Standardschriftart"/>
    <w:link w:val="berschrift6"/>
    <w:uiPriority w:val="9"/>
    <w:semiHidden/>
    <w:locked/>
    <w:rsid w:val="00A77631"/>
    <w:rPr>
      <w:rFonts w:ascii="Cambria" w:hAnsi="Cambria"/>
      <w:i/>
      <w:iCs/>
      <w:color w:val="243F60"/>
      <w:sz w:val="22"/>
      <w:szCs w:val="22"/>
      <w:lang w:eastAsia="en-US"/>
    </w:rPr>
  </w:style>
  <w:style w:type="character" w:customStyle="1" w:styleId="berschrift7Zchn">
    <w:name w:val="Überschrift 7 Zchn"/>
    <w:basedOn w:val="Absatz-Standardschriftart"/>
    <w:link w:val="berschrift7"/>
    <w:uiPriority w:val="9"/>
    <w:semiHidden/>
    <w:locked/>
    <w:rsid w:val="00A77631"/>
    <w:rPr>
      <w:rFonts w:ascii="Cambria" w:hAnsi="Cambria"/>
      <w:i/>
      <w:iCs/>
      <w:color w:val="404040"/>
      <w:sz w:val="22"/>
      <w:szCs w:val="22"/>
      <w:lang w:eastAsia="en-US"/>
    </w:rPr>
  </w:style>
  <w:style w:type="character" w:customStyle="1" w:styleId="berschrift8Zchn">
    <w:name w:val="Überschrift 8 Zchn"/>
    <w:basedOn w:val="Absatz-Standardschriftart"/>
    <w:link w:val="berschrift8"/>
    <w:uiPriority w:val="9"/>
    <w:semiHidden/>
    <w:locked/>
    <w:rsid w:val="00A77631"/>
    <w:rPr>
      <w:rFonts w:ascii="Cambria" w:hAnsi="Cambria"/>
      <w:color w:val="404040"/>
      <w:lang w:eastAsia="en-US"/>
    </w:rPr>
  </w:style>
  <w:style w:type="character" w:customStyle="1" w:styleId="berschrift9Zchn">
    <w:name w:val="Überschrift 9 Zchn"/>
    <w:basedOn w:val="Absatz-Standardschriftart"/>
    <w:link w:val="berschrift9"/>
    <w:uiPriority w:val="9"/>
    <w:semiHidden/>
    <w:locked/>
    <w:rsid w:val="00A77631"/>
    <w:rPr>
      <w:rFonts w:ascii="Cambria" w:hAnsi="Cambria"/>
      <w:i/>
      <w:iCs/>
      <w:color w:val="404040"/>
      <w:lang w:eastAsia="en-US"/>
    </w:rPr>
  </w:style>
  <w:style w:type="paragraph" w:styleId="Funotentext">
    <w:name w:val="footnote text"/>
    <w:basedOn w:val="Standard"/>
    <w:link w:val="FunotentextZchn"/>
    <w:uiPriority w:val="99"/>
    <w:semiHidden/>
    <w:qFormat/>
    <w:rsid w:val="002C429E"/>
    <w:pPr>
      <w:spacing w:line="240" w:lineRule="auto"/>
    </w:pPr>
    <w:rPr>
      <w:sz w:val="18"/>
      <w:szCs w:val="22"/>
      <w:lang w:eastAsia="en-US"/>
    </w:rPr>
  </w:style>
  <w:style w:type="character" w:customStyle="1" w:styleId="FunotentextZchn">
    <w:name w:val="Fußnotentext Zchn"/>
    <w:basedOn w:val="Absatz-Standardschriftart"/>
    <w:link w:val="Funotentext"/>
    <w:uiPriority w:val="99"/>
    <w:semiHidden/>
    <w:locked/>
    <w:rsid w:val="002C429E"/>
    <w:rPr>
      <w:rFonts w:ascii="Arial" w:hAnsi="Arial" w:cs="Times New Roman"/>
      <w:sz w:val="18"/>
    </w:rPr>
  </w:style>
  <w:style w:type="paragraph" w:styleId="Kopfzeile">
    <w:name w:val="header"/>
    <w:basedOn w:val="Standard"/>
    <w:link w:val="KopfzeileZchn"/>
    <w:uiPriority w:val="99"/>
    <w:unhideWhenUsed/>
    <w:qFormat/>
    <w:rsid w:val="00C327B9"/>
    <w:pPr>
      <w:tabs>
        <w:tab w:val="center" w:pos="4536"/>
        <w:tab w:val="right" w:pos="9072"/>
      </w:tabs>
      <w:spacing w:before="0" w:line="240" w:lineRule="auto"/>
    </w:pPr>
    <w:rPr>
      <w:sz w:val="19"/>
      <w:szCs w:val="19"/>
      <w:lang w:eastAsia="en-US"/>
    </w:rPr>
  </w:style>
  <w:style w:type="character" w:customStyle="1" w:styleId="KopfzeileZchn">
    <w:name w:val="Kopfzeile Zchn"/>
    <w:basedOn w:val="Absatz-Standardschriftart"/>
    <w:link w:val="Kopfzeile"/>
    <w:uiPriority w:val="99"/>
    <w:locked/>
    <w:rsid w:val="00C327B9"/>
    <w:rPr>
      <w:rFonts w:ascii="Arial" w:hAnsi="Arial" w:cs="Times New Roman"/>
      <w:sz w:val="19"/>
      <w:szCs w:val="19"/>
    </w:rPr>
  </w:style>
  <w:style w:type="paragraph" w:styleId="Fuzeile">
    <w:name w:val="footer"/>
    <w:basedOn w:val="Standard"/>
    <w:link w:val="FuzeileZchn"/>
    <w:uiPriority w:val="99"/>
    <w:unhideWhenUsed/>
    <w:qFormat/>
    <w:rsid w:val="00175D3D"/>
    <w:pPr>
      <w:tabs>
        <w:tab w:val="center" w:pos="4536"/>
        <w:tab w:val="right" w:pos="9072"/>
      </w:tabs>
      <w:spacing w:before="0" w:line="280" w:lineRule="exact"/>
      <w:jc w:val="right"/>
    </w:pPr>
    <w:rPr>
      <w:sz w:val="19"/>
      <w:szCs w:val="19"/>
      <w:lang w:eastAsia="en-US"/>
    </w:rPr>
  </w:style>
  <w:style w:type="character" w:customStyle="1" w:styleId="FuzeileZchn">
    <w:name w:val="Fußzeile Zchn"/>
    <w:basedOn w:val="Absatz-Standardschriftart"/>
    <w:link w:val="Fuzeile"/>
    <w:uiPriority w:val="99"/>
    <w:locked/>
    <w:rsid w:val="00175D3D"/>
    <w:rPr>
      <w:rFonts w:ascii="Arial" w:hAnsi="Arial" w:cs="Times New Roman"/>
      <w:sz w:val="19"/>
      <w:szCs w:val="19"/>
    </w:rPr>
  </w:style>
  <w:style w:type="paragraph" w:styleId="Titel">
    <w:name w:val="Title"/>
    <w:basedOn w:val="Standard"/>
    <w:next w:val="Standard"/>
    <w:link w:val="TitelZchn"/>
    <w:uiPriority w:val="10"/>
    <w:qFormat/>
    <w:rsid w:val="003C2979"/>
    <w:rPr>
      <w:b/>
      <w:szCs w:val="52"/>
      <w:lang w:eastAsia="en-US"/>
    </w:rPr>
  </w:style>
  <w:style w:type="character" w:customStyle="1" w:styleId="TitelZchn">
    <w:name w:val="Titel Zchn"/>
    <w:basedOn w:val="Absatz-Standardschriftart"/>
    <w:link w:val="Titel"/>
    <w:uiPriority w:val="10"/>
    <w:locked/>
    <w:rsid w:val="003C2979"/>
    <w:rPr>
      <w:rFonts w:ascii="Arial" w:hAnsi="Arial" w:cs="Times New Roman"/>
      <w:b/>
      <w:sz w:val="52"/>
      <w:szCs w:val="52"/>
    </w:rPr>
  </w:style>
  <w:style w:type="character" w:styleId="Hyperlink">
    <w:name w:val="Hyperlink"/>
    <w:basedOn w:val="Absatz-Standardschriftart"/>
    <w:uiPriority w:val="99"/>
    <w:unhideWhenUsed/>
    <w:rsid w:val="00A77631"/>
    <w:rPr>
      <w:rFonts w:cs="Times New Roman"/>
      <w:color w:val="0000FF"/>
      <w:u w:val="single"/>
    </w:rPr>
  </w:style>
  <w:style w:type="character" w:styleId="Funotenzeichen">
    <w:name w:val="footnote reference"/>
    <w:basedOn w:val="Absatz-Standardschriftart"/>
    <w:uiPriority w:val="99"/>
    <w:semiHidden/>
    <w:unhideWhenUsed/>
    <w:rsid w:val="007667BF"/>
    <w:rPr>
      <w:rFonts w:cs="Times New Roman"/>
      <w:vertAlign w:val="superscript"/>
    </w:rPr>
  </w:style>
  <w:style w:type="paragraph" w:styleId="Listenabsatz">
    <w:name w:val="List Paragraph"/>
    <w:basedOn w:val="Standard"/>
    <w:uiPriority w:val="34"/>
    <w:qFormat/>
    <w:rsid w:val="0064296B"/>
    <w:pPr>
      <w:numPr>
        <w:ilvl w:val="1"/>
        <w:numId w:val="2"/>
      </w:numPr>
      <w:contextualSpacing/>
    </w:pPr>
    <w:rPr>
      <w:szCs w:val="22"/>
      <w:lang w:eastAsia="en-US"/>
    </w:rPr>
  </w:style>
  <w:style w:type="table" w:styleId="Tabellenraster">
    <w:name w:val="Table Grid"/>
    <w:basedOn w:val="NormaleTabelle"/>
    <w:uiPriority w:val="39"/>
    <w:rsid w:val="00C4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87460"/>
    <w:pPr>
      <w:spacing w:before="0" w:line="240" w:lineRule="auto"/>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locked/>
    <w:rsid w:val="00687460"/>
    <w:rPr>
      <w:rFonts w:ascii="Tahoma" w:hAnsi="Tahoma" w:cs="Tahoma"/>
      <w:sz w:val="16"/>
      <w:szCs w:val="16"/>
    </w:rPr>
  </w:style>
  <w:style w:type="character" w:styleId="Fett">
    <w:name w:val="Strong"/>
    <w:basedOn w:val="Absatz-Standardschriftart"/>
    <w:uiPriority w:val="22"/>
    <w:qFormat/>
    <w:rsid w:val="00687460"/>
    <w:rPr>
      <w:rFonts w:cs="Times New Roman"/>
      <w:b/>
      <w:bCs/>
    </w:rPr>
  </w:style>
  <w:style w:type="paragraph" w:styleId="Zitat">
    <w:name w:val="Quote"/>
    <w:basedOn w:val="Standard"/>
    <w:next w:val="Standard"/>
    <w:link w:val="ZitatZchn"/>
    <w:uiPriority w:val="29"/>
    <w:qFormat/>
    <w:rsid w:val="00687460"/>
    <w:rPr>
      <w:i/>
      <w:iCs/>
      <w:color w:val="000000"/>
      <w:szCs w:val="22"/>
      <w:lang w:eastAsia="en-US"/>
    </w:rPr>
  </w:style>
  <w:style w:type="character" w:customStyle="1" w:styleId="ZitatZchn">
    <w:name w:val="Zitat Zchn"/>
    <w:basedOn w:val="Absatz-Standardschriftart"/>
    <w:link w:val="Zitat"/>
    <w:uiPriority w:val="29"/>
    <w:locked/>
    <w:rsid w:val="00687460"/>
    <w:rPr>
      <w:rFonts w:ascii="Arial" w:hAnsi="Arial" w:cs="Times New Roman"/>
      <w:i/>
      <w:iCs/>
      <w:color w:val="000000"/>
    </w:rPr>
  </w:style>
  <w:style w:type="paragraph" w:customStyle="1" w:styleId="Drucksachennummer">
    <w:name w:val="Drucksachennummer"/>
    <w:basedOn w:val="Standard"/>
    <w:rsid w:val="0006137B"/>
    <w:pPr>
      <w:jc w:val="right"/>
    </w:pPr>
    <w:rPr>
      <w:b/>
      <w:bCs/>
      <w:i/>
      <w:iCs/>
      <w:szCs w:val="20"/>
    </w:rPr>
  </w:style>
  <w:style w:type="character" w:styleId="Kommentarzeichen">
    <w:name w:val="annotation reference"/>
    <w:basedOn w:val="Absatz-Standardschriftart"/>
    <w:semiHidden/>
    <w:unhideWhenUsed/>
    <w:rsid w:val="009B48C0"/>
    <w:rPr>
      <w:rFonts w:cs="Times New Roman"/>
      <w:sz w:val="16"/>
      <w:szCs w:val="16"/>
    </w:rPr>
  </w:style>
  <w:style w:type="paragraph" w:styleId="Kommentartext">
    <w:name w:val="annotation text"/>
    <w:basedOn w:val="Standard"/>
    <w:link w:val="KommentartextZchn"/>
    <w:unhideWhenUsed/>
    <w:rsid w:val="009B48C0"/>
    <w:pPr>
      <w:spacing w:line="240" w:lineRule="auto"/>
    </w:pPr>
    <w:rPr>
      <w:sz w:val="20"/>
      <w:szCs w:val="20"/>
    </w:rPr>
  </w:style>
  <w:style w:type="character" w:customStyle="1" w:styleId="KommentartextZchn">
    <w:name w:val="Kommentartext Zchn"/>
    <w:basedOn w:val="Absatz-Standardschriftart"/>
    <w:link w:val="Kommentartext"/>
    <w:locked/>
    <w:rsid w:val="009B48C0"/>
    <w:rPr>
      <w:rFonts w:ascii="Arial" w:hAnsi="Arial" w:cs="Times New Roman"/>
      <w:sz w:val="20"/>
      <w:szCs w:val="20"/>
      <w:lang w:val="x-none" w:eastAsia="de-DE"/>
    </w:rPr>
  </w:style>
  <w:style w:type="paragraph" w:styleId="Kommentarthema">
    <w:name w:val="annotation subject"/>
    <w:basedOn w:val="Kommentartext"/>
    <w:next w:val="Kommentartext"/>
    <w:link w:val="KommentarthemaZchn"/>
    <w:uiPriority w:val="99"/>
    <w:semiHidden/>
    <w:unhideWhenUsed/>
    <w:rsid w:val="009B48C0"/>
    <w:rPr>
      <w:b/>
      <w:bCs/>
    </w:rPr>
  </w:style>
  <w:style w:type="character" w:customStyle="1" w:styleId="KommentarthemaZchn">
    <w:name w:val="Kommentarthema Zchn"/>
    <w:basedOn w:val="KommentartextZchn"/>
    <w:link w:val="Kommentarthema"/>
    <w:uiPriority w:val="99"/>
    <w:semiHidden/>
    <w:locked/>
    <w:rsid w:val="009B48C0"/>
    <w:rPr>
      <w:rFonts w:ascii="Arial" w:hAnsi="Arial" w:cs="Times New Roman"/>
      <w:b/>
      <w:bCs/>
      <w:sz w:val="20"/>
      <w:szCs w:val="20"/>
      <w:lang w:val="x-none" w:eastAsia="de-DE"/>
    </w:rPr>
  </w:style>
  <w:style w:type="paragraph" w:styleId="Inhaltsverzeichnisberschrift">
    <w:name w:val="TOC Heading"/>
    <w:basedOn w:val="berschrift1"/>
    <w:next w:val="Standard"/>
    <w:link w:val="InhaltsverzeichnisberschriftZchn"/>
    <w:autoRedefine/>
    <w:uiPriority w:val="39"/>
    <w:unhideWhenUsed/>
    <w:qFormat/>
    <w:rsid w:val="00DA1C01"/>
    <w:pPr>
      <w:keepNext/>
      <w:keepLines/>
      <w:widowControl/>
      <w:numPr>
        <w:numId w:val="0"/>
      </w:numPr>
      <w:tabs>
        <w:tab w:val="clear" w:pos="426"/>
      </w:tabs>
      <w:spacing w:before="0"/>
      <w:jc w:val="left"/>
      <w:outlineLvl w:val="9"/>
    </w:pPr>
    <w:rPr>
      <w:rFonts w:cs="Arial"/>
      <w:bCs w:val="0"/>
      <w:sz w:val="20"/>
      <w:szCs w:val="20"/>
      <w:lang w:eastAsia="de-DE"/>
    </w:rPr>
  </w:style>
  <w:style w:type="paragraph" w:styleId="Verzeichnis2">
    <w:name w:val="toc 2"/>
    <w:basedOn w:val="Standard"/>
    <w:next w:val="Standard"/>
    <w:link w:val="Verzeichnis2Zchn"/>
    <w:autoRedefine/>
    <w:uiPriority w:val="39"/>
    <w:unhideWhenUsed/>
    <w:rsid w:val="00C177F0"/>
    <w:pPr>
      <w:tabs>
        <w:tab w:val="right" w:leader="dot" w:pos="9344"/>
      </w:tabs>
      <w:ind w:left="220"/>
      <w:jc w:val="left"/>
    </w:pPr>
    <w:rPr>
      <w:rFonts w:asciiTheme="minorHAnsi" w:hAnsiTheme="minorHAnsi"/>
      <w:i/>
      <w:iCs/>
      <w:sz w:val="20"/>
      <w:szCs w:val="20"/>
    </w:rPr>
  </w:style>
  <w:style w:type="paragraph" w:styleId="Verzeichnis1">
    <w:name w:val="toc 1"/>
    <w:basedOn w:val="Standard"/>
    <w:next w:val="Standard"/>
    <w:autoRedefine/>
    <w:uiPriority w:val="39"/>
    <w:unhideWhenUsed/>
    <w:rsid w:val="007D1382"/>
    <w:pPr>
      <w:spacing w:before="240" w:after="120"/>
      <w:jc w:val="left"/>
    </w:pPr>
    <w:rPr>
      <w:rFonts w:asciiTheme="minorHAnsi" w:hAnsiTheme="minorHAnsi"/>
      <w:b/>
      <w:bCs/>
      <w:sz w:val="20"/>
      <w:szCs w:val="20"/>
    </w:rPr>
  </w:style>
  <w:style w:type="paragraph" w:styleId="Verzeichnis3">
    <w:name w:val="toc 3"/>
    <w:basedOn w:val="Standard"/>
    <w:next w:val="Standard"/>
    <w:autoRedefine/>
    <w:uiPriority w:val="39"/>
    <w:unhideWhenUsed/>
    <w:rsid w:val="007D1382"/>
    <w:pPr>
      <w:spacing w:before="0"/>
      <w:ind w:left="440"/>
      <w:jc w:val="left"/>
    </w:pPr>
    <w:rPr>
      <w:rFonts w:asciiTheme="minorHAnsi" w:hAnsiTheme="minorHAnsi"/>
      <w:sz w:val="20"/>
      <w:szCs w:val="20"/>
    </w:rPr>
  </w:style>
  <w:style w:type="paragraph" w:customStyle="1" w:styleId="FormatvorlageGutachtenraster">
    <w:name w:val="Formatvorlage Gutachtenraster"/>
    <w:basedOn w:val="Standard"/>
    <w:link w:val="FormatvorlageGutachtenrasterZchn"/>
    <w:qFormat/>
    <w:rsid w:val="000419D9"/>
  </w:style>
  <w:style w:type="character" w:customStyle="1" w:styleId="InhaltsverzeichnisberschriftZchn">
    <w:name w:val="Inhaltsverzeichnisüberschrift Zchn"/>
    <w:basedOn w:val="berschrift1Zchn"/>
    <w:link w:val="Inhaltsverzeichnisberschrift"/>
    <w:uiPriority w:val="39"/>
    <w:locked/>
    <w:rsid w:val="00DA1C01"/>
    <w:rPr>
      <w:rFonts w:ascii="Arial" w:hAnsi="Arial" w:cs="Arial"/>
      <w:b/>
      <w:bCs w:val="0"/>
      <w:sz w:val="28"/>
      <w:szCs w:val="28"/>
      <w:lang w:eastAsia="en-US"/>
    </w:rPr>
  </w:style>
  <w:style w:type="character" w:customStyle="1" w:styleId="FormatvorlageGutachtenrasterZchn">
    <w:name w:val="Formatvorlage Gutachtenraster Zchn"/>
    <w:basedOn w:val="Absatz-Standardschriftart"/>
    <w:link w:val="FormatvorlageGutachtenraster"/>
    <w:locked/>
    <w:rsid w:val="000419D9"/>
    <w:rPr>
      <w:rFonts w:ascii="Arial" w:hAnsi="Arial" w:cs="Times New Roman"/>
      <w:sz w:val="24"/>
      <w:szCs w:val="24"/>
      <w:lang w:val="x-none" w:eastAsia="de-DE"/>
    </w:rPr>
  </w:style>
  <w:style w:type="paragraph" w:customStyle="1" w:styleId="Inhaltsverzeichnis">
    <w:name w:val="Inhaltsverzeichnis"/>
    <w:basedOn w:val="Verzeichnis2"/>
    <w:link w:val="InhaltsverzeichnisZchn"/>
    <w:qFormat/>
    <w:rsid w:val="00C214FE"/>
    <w:rPr>
      <w:rFonts w:ascii="Arial" w:hAnsi="Arial"/>
      <w:noProof/>
    </w:rPr>
  </w:style>
  <w:style w:type="character" w:customStyle="1" w:styleId="Verzeichnis2Zchn">
    <w:name w:val="Verzeichnis 2 Zchn"/>
    <w:basedOn w:val="Absatz-Standardschriftart"/>
    <w:link w:val="Verzeichnis2"/>
    <w:uiPriority w:val="39"/>
    <w:locked/>
    <w:rsid w:val="00C177F0"/>
    <w:rPr>
      <w:rFonts w:asciiTheme="minorHAnsi" w:hAnsiTheme="minorHAnsi"/>
      <w:i/>
      <w:iCs/>
    </w:rPr>
  </w:style>
  <w:style w:type="character" w:customStyle="1" w:styleId="InhaltsverzeichnisZchn">
    <w:name w:val="Inhaltsverzeichnis Zchn"/>
    <w:basedOn w:val="Verzeichnis2Zchn"/>
    <w:link w:val="Inhaltsverzeichnis"/>
    <w:locked/>
    <w:rsid w:val="00C214FE"/>
    <w:rPr>
      <w:rFonts w:ascii="Arial" w:eastAsia="Times New Roman" w:hAnsi="Arial" w:cs="Times New Roman"/>
      <w:i/>
      <w:iCs/>
      <w:noProof/>
      <w:sz w:val="22"/>
      <w:szCs w:val="22"/>
      <w:lang w:val="x-none" w:eastAsia="de-DE"/>
    </w:rPr>
  </w:style>
  <w:style w:type="table" w:customStyle="1" w:styleId="Tabellenraster2">
    <w:name w:val="Tabellenraster2"/>
    <w:basedOn w:val="NormaleTabelle"/>
    <w:next w:val="Tabellenraster"/>
    <w:uiPriority w:val="59"/>
    <w:rsid w:val="00B86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rsid w:val="00686117"/>
    <w:rPr>
      <w:rFonts w:cs="Times New Roman"/>
      <w:color w:val="808080"/>
      <w:shd w:val="clear" w:color="auto" w:fill="E6E6E6"/>
    </w:rPr>
  </w:style>
  <w:style w:type="character" w:styleId="BesuchterLink">
    <w:name w:val="FollowedHyperlink"/>
    <w:basedOn w:val="Absatz-Standardschriftart"/>
    <w:uiPriority w:val="99"/>
    <w:semiHidden/>
    <w:unhideWhenUsed/>
    <w:rsid w:val="00152EC0"/>
    <w:rPr>
      <w:rFonts w:cs="Times New Roman"/>
      <w:color w:val="800080"/>
      <w:u w:val="single"/>
    </w:rPr>
  </w:style>
  <w:style w:type="character" w:styleId="Platzhaltertext">
    <w:name w:val="Placeholder Text"/>
    <w:basedOn w:val="Absatz-Standardschriftart"/>
    <w:uiPriority w:val="99"/>
    <w:semiHidden/>
    <w:rsid w:val="004356C8"/>
    <w:rPr>
      <w:color w:val="808080"/>
    </w:rPr>
  </w:style>
  <w:style w:type="character" w:customStyle="1" w:styleId="NichtaufgelsteErwhnung2">
    <w:name w:val="Nicht aufgelöste Erwähnung2"/>
    <w:basedOn w:val="Absatz-Standardschriftart"/>
    <w:uiPriority w:val="99"/>
    <w:semiHidden/>
    <w:unhideWhenUsed/>
    <w:rsid w:val="00B767A3"/>
    <w:rPr>
      <w:color w:val="808080"/>
      <w:shd w:val="clear" w:color="auto" w:fill="E6E6E6"/>
    </w:rPr>
  </w:style>
  <w:style w:type="paragraph" w:styleId="Verzeichnis4">
    <w:name w:val="toc 4"/>
    <w:basedOn w:val="Standard"/>
    <w:next w:val="Standard"/>
    <w:autoRedefine/>
    <w:uiPriority w:val="39"/>
    <w:unhideWhenUsed/>
    <w:rsid w:val="00616657"/>
    <w:pPr>
      <w:spacing w:before="0"/>
      <w:ind w:left="660"/>
      <w:jc w:val="left"/>
    </w:pPr>
    <w:rPr>
      <w:rFonts w:asciiTheme="minorHAnsi" w:hAnsiTheme="minorHAnsi"/>
      <w:sz w:val="20"/>
      <w:szCs w:val="20"/>
    </w:rPr>
  </w:style>
  <w:style w:type="paragraph" w:styleId="Verzeichnis5">
    <w:name w:val="toc 5"/>
    <w:basedOn w:val="Standard"/>
    <w:next w:val="Standard"/>
    <w:autoRedefine/>
    <w:uiPriority w:val="39"/>
    <w:unhideWhenUsed/>
    <w:rsid w:val="00616657"/>
    <w:pPr>
      <w:spacing w:before="0"/>
      <w:ind w:left="880"/>
      <w:jc w:val="left"/>
    </w:pPr>
    <w:rPr>
      <w:rFonts w:asciiTheme="minorHAnsi" w:hAnsiTheme="minorHAnsi"/>
      <w:sz w:val="20"/>
      <w:szCs w:val="20"/>
    </w:rPr>
  </w:style>
  <w:style w:type="paragraph" w:styleId="Verzeichnis6">
    <w:name w:val="toc 6"/>
    <w:basedOn w:val="Standard"/>
    <w:next w:val="Standard"/>
    <w:autoRedefine/>
    <w:uiPriority w:val="39"/>
    <w:unhideWhenUsed/>
    <w:rsid w:val="00616657"/>
    <w:pPr>
      <w:spacing w:before="0"/>
      <w:ind w:left="1100"/>
      <w:jc w:val="left"/>
    </w:pPr>
    <w:rPr>
      <w:rFonts w:asciiTheme="minorHAnsi" w:hAnsiTheme="minorHAnsi"/>
      <w:sz w:val="20"/>
      <w:szCs w:val="20"/>
    </w:rPr>
  </w:style>
  <w:style w:type="paragraph" w:styleId="Verzeichnis7">
    <w:name w:val="toc 7"/>
    <w:basedOn w:val="Standard"/>
    <w:next w:val="Standard"/>
    <w:autoRedefine/>
    <w:uiPriority w:val="39"/>
    <w:unhideWhenUsed/>
    <w:rsid w:val="00616657"/>
    <w:pPr>
      <w:spacing w:before="0"/>
      <w:ind w:left="1320"/>
      <w:jc w:val="left"/>
    </w:pPr>
    <w:rPr>
      <w:rFonts w:asciiTheme="minorHAnsi" w:hAnsiTheme="minorHAnsi"/>
      <w:sz w:val="20"/>
      <w:szCs w:val="20"/>
    </w:rPr>
  </w:style>
  <w:style w:type="paragraph" w:styleId="Verzeichnis8">
    <w:name w:val="toc 8"/>
    <w:basedOn w:val="Standard"/>
    <w:next w:val="Standard"/>
    <w:autoRedefine/>
    <w:uiPriority w:val="39"/>
    <w:unhideWhenUsed/>
    <w:rsid w:val="00616657"/>
    <w:pPr>
      <w:spacing w:before="0"/>
      <w:ind w:left="1540"/>
      <w:jc w:val="left"/>
    </w:pPr>
    <w:rPr>
      <w:rFonts w:asciiTheme="minorHAnsi" w:hAnsiTheme="minorHAnsi"/>
      <w:sz w:val="20"/>
      <w:szCs w:val="20"/>
    </w:rPr>
  </w:style>
  <w:style w:type="paragraph" w:styleId="Verzeichnis9">
    <w:name w:val="toc 9"/>
    <w:basedOn w:val="Standard"/>
    <w:next w:val="Standard"/>
    <w:autoRedefine/>
    <w:uiPriority w:val="39"/>
    <w:unhideWhenUsed/>
    <w:rsid w:val="00616657"/>
    <w:pPr>
      <w:spacing w:before="0"/>
      <w:ind w:left="1760"/>
      <w:jc w:val="left"/>
    </w:pPr>
    <w:rPr>
      <w:rFonts w:asciiTheme="minorHAnsi" w:hAnsiTheme="minorHAnsi"/>
      <w:sz w:val="20"/>
      <w:szCs w:val="20"/>
    </w:rPr>
  </w:style>
  <w:style w:type="paragraph" w:styleId="berarbeitung">
    <w:name w:val="Revision"/>
    <w:hidden/>
    <w:uiPriority w:val="99"/>
    <w:semiHidden/>
    <w:rsid w:val="00616657"/>
    <w:rPr>
      <w:rFonts w:ascii="Arial" w:hAnsi="Arial"/>
      <w:sz w:val="22"/>
      <w:szCs w:val="24"/>
    </w:rPr>
  </w:style>
  <w:style w:type="paragraph" w:customStyle="1" w:styleId="Bewertung">
    <w:name w:val="Bewertung"/>
    <w:basedOn w:val="Standard"/>
    <w:qFormat/>
    <w:rsid w:val="00FE735A"/>
    <w:pPr>
      <w:shd w:val="clear" w:color="auto" w:fill="BFBFBF"/>
      <w:spacing w:before="0" w:after="160" w:line="288" w:lineRule="auto"/>
    </w:pPr>
    <w:rPr>
      <w:rFonts w:ascii="Calibri" w:hAnsi="Calibri"/>
      <w:sz w:val="24"/>
      <w:szCs w:val="22"/>
      <w:lang w:eastAsia="en-US" w:bidi="en-US"/>
    </w:rPr>
  </w:style>
  <w:style w:type="paragraph" w:customStyle="1" w:styleId="Bewertungberschrift1">
    <w:name w:val="Bewertung Überschrift 1"/>
    <w:basedOn w:val="Bewertung"/>
    <w:next w:val="Bewertung"/>
    <w:qFormat/>
    <w:rsid w:val="00FE735A"/>
    <w:pPr>
      <w:keepNext/>
      <w:keepLines/>
      <w:spacing w:before="360" w:line="240" w:lineRule="auto"/>
    </w:pPr>
    <w:rPr>
      <w:b/>
    </w:rPr>
  </w:style>
  <w:style w:type="paragraph" w:customStyle="1" w:styleId="Aufzhlung">
    <w:name w:val="Aufzählung"/>
    <w:basedOn w:val="Standard"/>
    <w:qFormat/>
    <w:rsid w:val="00C76745"/>
    <w:pPr>
      <w:numPr>
        <w:numId w:val="6"/>
      </w:numPr>
      <w:spacing w:before="0" w:after="80" w:line="288" w:lineRule="auto"/>
    </w:pPr>
    <w:rPr>
      <w:rFonts w:ascii="Calibri" w:hAnsi="Calibri"/>
      <w:sz w:val="24"/>
      <w:szCs w:val="22"/>
      <w:lang w:eastAsia="en-US" w:bidi="en-US"/>
    </w:rPr>
  </w:style>
  <w:style w:type="paragraph" w:customStyle="1" w:styleId="Default">
    <w:name w:val="Default"/>
    <w:qFormat/>
    <w:rsid w:val="004C551D"/>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752B9D"/>
    <w:pPr>
      <w:spacing w:before="100" w:beforeAutospacing="1" w:after="100" w:afterAutospacing="1" w:line="240" w:lineRule="auto"/>
      <w:jc w:val="left"/>
    </w:pPr>
    <w:rPr>
      <w:rFonts w:ascii="Times New Roman" w:hAnsi="Times New Roman"/>
      <w:sz w:val="24"/>
    </w:rPr>
  </w:style>
  <w:style w:type="character" w:styleId="Hervorhebung">
    <w:name w:val="Emphasis"/>
    <w:basedOn w:val="Absatz-Standardschriftart"/>
    <w:uiPriority w:val="20"/>
    <w:qFormat/>
    <w:rsid w:val="00815744"/>
    <w:rPr>
      <w:i/>
      <w:iCs/>
    </w:rPr>
  </w:style>
  <w:style w:type="paragraph" w:customStyle="1" w:styleId="ListeAuflagen">
    <w:name w:val="Liste Auflagen"/>
    <w:basedOn w:val="Standard"/>
    <w:qFormat/>
    <w:rsid w:val="00BA4FDF"/>
    <w:pPr>
      <w:numPr>
        <w:numId w:val="12"/>
      </w:numPr>
      <w:spacing w:before="0" w:after="160" w:line="288" w:lineRule="auto"/>
    </w:pPr>
    <w:rPr>
      <w:rFonts w:ascii="Calibri" w:hAnsi="Calibri"/>
      <w:sz w:val="24"/>
      <w:lang w:val="en-US" w:eastAsia="en-US" w:bidi="en-US"/>
    </w:rPr>
  </w:style>
  <w:style w:type="paragraph" w:customStyle="1" w:styleId="ListeEmpfehlungen">
    <w:name w:val="Liste Empfehlungen"/>
    <w:basedOn w:val="Standard"/>
    <w:qFormat/>
    <w:rsid w:val="00BA4FDF"/>
    <w:pPr>
      <w:numPr>
        <w:numId w:val="13"/>
      </w:numPr>
      <w:spacing w:before="0" w:after="160" w:line="288" w:lineRule="auto"/>
    </w:pPr>
    <w:rPr>
      <w:rFonts w:ascii="Calibri" w:hAnsi="Calibri"/>
      <w:sz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4947">
      <w:bodyDiv w:val="1"/>
      <w:marLeft w:val="0"/>
      <w:marRight w:val="0"/>
      <w:marTop w:val="0"/>
      <w:marBottom w:val="0"/>
      <w:divBdr>
        <w:top w:val="none" w:sz="0" w:space="0" w:color="auto"/>
        <w:left w:val="none" w:sz="0" w:space="0" w:color="auto"/>
        <w:bottom w:val="none" w:sz="0" w:space="0" w:color="auto"/>
        <w:right w:val="none" w:sz="0" w:space="0" w:color="auto"/>
      </w:divBdr>
    </w:div>
    <w:div w:id="216938847">
      <w:marLeft w:val="0"/>
      <w:marRight w:val="0"/>
      <w:marTop w:val="0"/>
      <w:marBottom w:val="0"/>
      <w:divBdr>
        <w:top w:val="none" w:sz="0" w:space="0" w:color="auto"/>
        <w:left w:val="none" w:sz="0" w:space="0" w:color="auto"/>
        <w:bottom w:val="none" w:sz="0" w:space="0" w:color="auto"/>
        <w:right w:val="none" w:sz="0" w:space="0" w:color="auto"/>
      </w:divBdr>
    </w:div>
    <w:div w:id="315109188">
      <w:bodyDiv w:val="1"/>
      <w:marLeft w:val="0"/>
      <w:marRight w:val="0"/>
      <w:marTop w:val="0"/>
      <w:marBottom w:val="0"/>
      <w:divBdr>
        <w:top w:val="none" w:sz="0" w:space="0" w:color="auto"/>
        <w:left w:val="none" w:sz="0" w:space="0" w:color="auto"/>
        <w:bottom w:val="none" w:sz="0" w:space="0" w:color="auto"/>
        <w:right w:val="none" w:sz="0" w:space="0" w:color="auto"/>
      </w:divBdr>
    </w:div>
    <w:div w:id="336732745">
      <w:bodyDiv w:val="1"/>
      <w:marLeft w:val="0"/>
      <w:marRight w:val="0"/>
      <w:marTop w:val="0"/>
      <w:marBottom w:val="0"/>
      <w:divBdr>
        <w:top w:val="none" w:sz="0" w:space="0" w:color="auto"/>
        <w:left w:val="none" w:sz="0" w:space="0" w:color="auto"/>
        <w:bottom w:val="none" w:sz="0" w:space="0" w:color="auto"/>
        <w:right w:val="none" w:sz="0" w:space="0" w:color="auto"/>
      </w:divBdr>
    </w:div>
    <w:div w:id="359280834">
      <w:bodyDiv w:val="1"/>
      <w:marLeft w:val="0"/>
      <w:marRight w:val="0"/>
      <w:marTop w:val="0"/>
      <w:marBottom w:val="0"/>
      <w:divBdr>
        <w:top w:val="none" w:sz="0" w:space="0" w:color="auto"/>
        <w:left w:val="none" w:sz="0" w:space="0" w:color="auto"/>
        <w:bottom w:val="none" w:sz="0" w:space="0" w:color="auto"/>
        <w:right w:val="none" w:sz="0" w:space="0" w:color="auto"/>
      </w:divBdr>
    </w:div>
    <w:div w:id="464781380">
      <w:bodyDiv w:val="1"/>
      <w:marLeft w:val="0"/>
      <w:marRight w:val="0"/>
      <w:marTop w:val="0"/>
      <w:marBottom w:val="0"/>
      <w:divBdr>
        <w:top w:val="none" w:sz="0" w:space="0" w:color="auto"/>
        <w:left w:val="none" w:sz="0" w:space="0" w:color="auto"/>
        <w:bottom w:val="none" w:sz="0" w:space="0" w:color="auto"/>
        <w:right w:val="none" w:sz="0" w:space="0" w:color="auto"/>
      </w:divBdr>
    </w:div>
    <w:div w:id="737437809">
      <w:bodyDiv w:val="1"/>
      <w:marLeft w:val="0"/>
      <w:marRight w:val="0"/>
      <w:marTop w:val="0"/>
      <w:marBottom w:val="0"/>
      <w:divBdr>
        <w:top w:val="none" w:sz="0" w:space="0" w:color="auto"/>
        <w:left w:val="none" w:sz="0" w:space="0" w:color="auto"/>
        <w:bottom w:val="none" w:sz="0" w:space="0" w:color="auto"/>
        <w:right w:val="none" w:sz="0" w:space="0" w:color="auto"/>
      </w:divBdr>
    </w:div>
    <w:div w:id="938490121">
      <w:bodyDiv w:val="1"/>
      <w:marLeft w:val="0"/>
      <w:marRight w:val="0"/>
      <w:marTop w:val="0"/>
      <w:marBottom w:val="0"/>
      <w:divBdr>
        <w:top w:val="none" w:sz="0" w:space="0" w:color="auto"/>
        <w:left w:val="none" w:sz="0" w:space="0" w:color="auto"/>
        <w:bottom w:val="none" w:sz="0" w:space="0" w:color="auto"/>
        <w:right w:val="none" w:sz="0" w:space="0" w:color="auto"/>
      </w:divBdr>
    </w:div>
    <w:div w:id="1028069087">
      <w:bodyDiv w:val="1"/>
      <w:marLeft w:val="0"/>
      <w:marRight w:val="0"/>
      <w:marTop w:val="0"/>
      <w:marBottom w:val="0"/>
      <w:divBdr>
        <w:top w:val="none" w:sz="0" w:space="0" w:color="auto"/>
        <w:left w:val="none" w:sz="0" w:space="0" w:color="auto"/>
        <w:bottom w:val="none" w:sz="0" w:space="0" w:color="auto"/>
        <w:right w:val="none" w:sz="0" w:space="0" w:color="auto"/>
      </w:divBdr>
    </w:div>
    <w:div w:id="1138229789">
      <w:bodyDiv w:val="1"/>
      <w:marLeft w:val="0"/>
      <w:marRight w:val="0"/>
      <w:marTop w:val="0"/>
      <w:marBottom w:val="0"/>
      <w:divBdr>
        <w:top w:val="none" w:sz="0" w:space="0" w:color="auto"/>
        <w:left w:val="none" w:sz="0" w:space="0" w:color="auto"/>
        <w:bottom w:val="none" w:sz="0" w:space="0" w:color="auto"/>
        <w:right w:val="none" w:sz="0" w:space="0" w:color="auto"/>
      </w:divBdr>
    </w:div>
    <w:div w:id="1196580415">
      <w:bodyDiv w:val="1"/>
      <w:marLeft w:val="0"/>
      <w:marRight w:val="0"/>
      <w:marTop w:val="0"/>
      <w:marBottom w:val="0"/>
      <w:divBdr>
        <w:top w:val="none" w:sz="0" w:space="0" w:color="auto"/>
        <w:left w:val="none" w:sz="0" w:space="0" w:color="auto"/>
        <w:bottom w:val="none" w:sz="0" w:space="0" w:color="auto"/>
        <w:right w:val="none" w:sz="0" w:space="0" w:color="auto"/>
      </w:divBdr>
    </w:div>
    <w:div w:id="1233006147">
      <w:bodyDiv w:val="1"/>
      <w:marLeft w:val="0"/>
      <w:marRight w:val="0"/>
      <w:marTop w:val="0"/>
      <w:marBottom w:val="0"/>
      <w:divBdr>
        <w:top w:val="none" w:sz="0" w:space="0" w:color="auto"/>
        <w:left w:val="none" w:sz="0" w:space="0" w:color="auto"/>
        <w:bottom w:val="none" w:sz="0" w:space="0" w:color="auto"/>
        <w:right w:val="none" w:sz="0" w:space="0" w:color="auto"/>
      </w:divBdr>
    </w:div>
    <w:div w:id="1264456369">
      <w:bodyDiv w:val="1"/>
      <w:marLeft w:val="0"/>
      <w:marRight w:val="0"/>
      <w:marTop w:val="0"/>
      <w:marBottom w:val="0"/>
      <w:divBdr>
        <w:top w:val="none" w:sz="0" w:space="0" w:color="auto"/>
        <w:left w:val="none" w:sz="0" w:space="0" w:color="auto"/>
        <w:bottom w:val="none" w:sz="0" w:space="0" w:color="auto"/>
        <w:right w:val="none" w:sz="0" w:space="0" w:color="auto"/>
      </w:divBdr>
    </w:div>
    <w:div w:id="1305770716">
      <w:bodyDiv w:val="1"/>
      <w:marLeft w:val="0"/>
      <w:marRight w:val="0"/>
      <w:marTop w:val="0"/>
      <w:marBottom w:val="0"/>
      <w:divBdr>
        <w:top w:val="none" w:sz="0" w:space="0" w:color="auto"/>
        <w:left w:val="none" w:sz="0" w:space="0" w:color="auto"/>
        <w:bottom w:val="none" w:sz="0" w:space="0" w:color="auto"/>
        <w:right w:val="none" w:sz="0" w:space="0" w:color="auto"/>
      </w:divBdr>
    </w:div>
    <w:div w:id="1396395197">
      <w:bodyDiv w:val="1"/>
      <w:marLeft w:val="0"/>
      <w:marRight w:val="0"/>
      <w:marTop w:val="0"/>
      <w:marBottom w:val="0"/>
      <w:divBdr>
        <w:top w:val="none" w:sz="0" w:space="0" w:color="auto"/>
        <w:left w:val="none" w:sz="0" w:space="0" w:color="auto"/>
        <w:bottom w:val="none" w:sz="0" w:space="0" w:color="auto"/>
        <w:right w:val="none" w:sz="0" w:space="0" w:color="auto"/>
      </w:divBdr>
    </w:div>
    <w:div w:id="1559123307">
      <w:bodyDiv w:val="1"/>
      <w:marLeft w:val="0"/>
      <w:marRight w:val="0"/>
      <w:marTop w:val="0"/>
      <w:marBottom w:val="0"/>
      <w:divBdr>
        <w:top w:val="none" w:sz="0" w:space="0" w:color="auto"/>
        <w:left w:val="none" w:sz="0" w:space="0" w:color="auto"/>
        <w:bottom w:val="none" w:sz="0" w:space="0" w:color="auto"/>
        <w:right w:val="none" w:sz="0" w:space="0" w:color="auto"/>
      </w:divBdr>
    </w:div>
    <w:div w:id="1733187811">
      <w:bodyDiv w:val="1"/>
      <w:marLeft w:val="0"/>
      <w:marRight w:val="0"/>
      <w:marTop w:val="0"/>
      <w:marBottom w:val="0"/>
      <w:divBdr>
        <w:top w:val="none" w:sz="0" w:space="0" w:color="auto"/>
        <w:left w:val="none" w:sz="0" w:space="0" w:color="auto"/>
        <w:bottom w:val="none" w:sz="0" w:space="0" w:color="auto"/>
        <w:right w:val="none" w:sz="0" w:space="0" w:color="auto"/>
      </w:divBdr>
    </w:div>
    <w:div w:id="1855337922">
      <w:bodyDiv w:val="1"/>
      <w:marLeft w:val="0"/>
      <w:marRight w:val="0"/>
      <w:marTop w:val="0"/>
      <w:marBottom w:val="0"/>
      <w:divBdr>
        <w:top w:val="none" w:sz="0" w:space="0" w:color="auto"/>
        <w:left w:val="none" w:sz="0" w:space="0" w:color="auto"/>
        <w:bottom w:val="none" w:sz="0" w:space="0" w:color="auto"/>
        <w:right w:val="none" w:sz="0" w:space="0" w:color="auto"/>
      </w:divBdr>
    </w:div>
    <w:div w:id="1882134394">
      <w:bodyDiv w:val="1"/>
      <w:marLeft w:val="0"/>
      <w:marRight w:val="0"/>
      <w:marTop w:val="0"/>
      <w:marBottom w:val="0"/>
      <w:divBdr>
        <w:top w:val="none" w:sz="0" w:space="0" w:color="auto"/>
        <w:left w:val="none" w:sz="0" w:space="0" w:color="auto"/>
        <w:bottom w:val="none" w:sz="0" w:space="0" w:color="auto"/>
        <w:right w:val="none" w:sz="0" w:space="0" w:color="auto"/>
      </w:divBdr>
    </w:div>
    <w:div w:id="1997880727">
      <w:bodyDiv w:val="1"/>
      <w:marLeft w:val="0"/>
      <w:marRight w:val="0"/>
      <w:marTop w:val="0"/>
      <w:marBottom w:val="0"/>
      <w:divBdr>
        <w:top w:val="none" w:sz="0" w:space="0" w:color="auto"/>
        <w:left w:val="none" w:sz="0" w:space="0" w:color="auto"/>
        <w:bottom w:val="none" w:sz="0" w:space="0" w:color="auto"/>
        <w:right w:val="none" w:sz="0" w:space="0" w:color="auto"/>
      </w:divBdr>
    </w:div>
    <w:div w:id="213224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4.jpeg"/><Relationship Id="rId23" Type="http://schemas.microsoft.com/office/2018/08/relationships/commentsExtensible" Target="commentsExtensible.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88CE8549B24F48BCF5C437637E0E02"/>
        <w:category>
          <w:name w:val="Allgemein"/>
          <w:gallery w:val="placeholder"/>
        </w:category>
        <w:types>
          <w:type w:val="bbPlcHdr"/>
        </w:types>
        <w:behaviors>
          <w:behavior w:val="content"/>
        </w:behaviors>
        <w:guid w:val="{5F921E04-C9AF-4390-8547-551E4CDBA5EA}"/>
      </w:docPartPr>
      <w:docPartBody>
        <w:p w:rsidR="00BF632A" w:rsidRDefault="0076532C">
          <w:pPr>
            <w:pStyle w:val="0788CE8549B24F48BCF5C437637E0E02"/>
          </w:pPr>
          <w:r w:rsidRPr="00CD2229">
            <w:rPr>
              <w:rStyle w:val="Platzhaltertext"/>
            </w:rPr>
            <w:t>Klicken oder tippen Sie, um ein Datum einzugeben.</w:t>
          </w:r>
        </w:p>
      </w:docPartBody>
    </w:docPart>
    <w:docPart>
      <w:docPartPr>
        <w:name w:val="8324B2F41F884DBDBEBC053853602D67"/>
        <w:category>
          <w:name w:val="Allgemein"/>
          <w:gallery w:val="placeholder"/>
        </w:category>
        <w:types>
          <w:type w:val="bbPlcHdr"/>
        </w:types>
        <w:behaviors>
          <w:behavior w:val="content"/>
        </w:behaviors>
        <w:guid w:val="{055D58AE-448A-43B0-A8B1-BE1F9DFE6EA0}"/>
      </w:docPartPr>
      <w:docPartBody>
        <w:p w:rsidR="00BF632A" w:rsidRDefault="0076532C">
          <w:pPr>
            <w:pStyle w:val="8324B2F41F884DBDBEBC053853602D67"/>
          </w:pPr>
          <w:r w:rsidRPr="00CD2229">
            <w:rPr>
              <w:rStyle w:val="Platzhaltertext"/>
            </w:rPr>
            <w:t>Klicken oder tippen Sie, um ein Datum einzugeben.</w:t>
          </w:r>
        </w:p>
      </w:docPartBody>
    </w:docPart>
    <w:docPart>
      <w:docPartPr>
        <w:name w:val="EBE86D028E094ED9ACEED081A748AB5C"/>
        <w:category>
          <w:name w:val="Allgemein"/>
          <w:gallery w:val="placeholder"/>
        </w:category>
        <w:types>
          <w:type w:val="bbPlcHdr"/>
        </w:types>
        <w:behaviors>
          <w:behavior w:val="content"/>
        </w:behaviors>
        <w:guid w:val="{6F8C8F33-A151-4991-86E0-8967BB988DA5}"/>
      </w:docPartPr>
      <w:docPartBody>
        <w:p w:rsidR="00BF632A" w:rsidRDefault="0076532C">
          <w:pPr>
            <w:pStyle w:val="EBE86D028E094ED9ACEED081A748AB5C"/>
          </w:pPr>
          <w:r w:rsidRPr="00CD2229">
            <w:rPr>
              <w:rStyle w:val="Platzhaltertext"/>
            </w:rPr>
            <w:t>Klicken oder tippen Sie, um ein Datum einzugeben.</w:t>
          </w:r>
        </w:p>
      </w:docPartBody>
    </w:docPart>
    <w:docPart>
      <w:docPartPr>
        <w:name w:val="50A3E689CFFB49B09B383D9C481F6EDD"/>
        <w:category>
          <w:name w:val="Allgemein"/>
          <w:gallery w:val="placeholder"/>
        </w:category>
        <w:types>
          <w:type w:val="bbPlcHdr"/>
        </w:types>
        <w:behaviors>
          <w:behavior w:val="content"/>
        </w:behaviors>
        <w:guid w:val="{3DFD0AFF-18C3-42DA-8711-3BD5CBA102F0}"/>
      </w:docPartPr>
      <w:docPartBody>
        <w:p w:rsidR="00BF632A" w:rsidRDefault="0076532C">
          <w:pPr>
            <w:pStyle w:val="50A3E689CFFB49B09B383D9C481F6EDD"/>
          </w:pPr>
          <w:r w:rsidRPr="00CD2229">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32A"/>
    <w:rsid w:val="00015E0F"/>
    <w:rsid w:val="00325875"/>
    <w:rsid w:val="005E3787"/>
    <w:rsid w:val="0076532C"/>
    <w:rsid w:val="009D1223"/>
    <w:rsid w:val="00BC790B"/>
    <w:rsid w:val="00BF632A"/>
    <w:rsid w:val="00F13438"/>
    <w:rsid w:val="00F35B4D"/>
    <w:rsid w:val="00F564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788CE8549B24F48BCF5C437637E0E02">
    <w:name w:val="0788CE8549B24F48BCF5C437637E0E02"/>
  </w:style>
  <w:style w:type="paragraph" w:customStyle="1" w:styleId="8324B2F41F884DBDBEBC053853602D67">
    <w:name w:val="8324B2F41F884DBDBEBC053853602D67"/>
  </w:style>
  <w:style w:type="paragraph" w:customStyle="1" w:styleId="EBE86D028E094ED9ACEED081A748AB5C">
    <w:name w:val="EBE86D028E094ED9ACEED081A748AB5C"/>
  </w:style>
  <w:style w:type="paragraph" w:customStyle="1" w:styleId="50A3E689CFFB49B09B383D9C481F6EDD">
    <w:name w:val="50A3E689CFFB49B09B383D9C481F6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6D561-1527-4577-B748-07ECA50C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8633</Words>
  <Characters>65172</Characters>
  <Application>Microsoft Office Word</Application>
  <DocSecurity>4</DocSecurity>
  <Lines>543</Lines>
  <Paragraphs>147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73658</CharactersWithSpaces>
  <SharedDoc>false</SharedDoc>
  <HLinks>
    <vt:vector size="312" baseType="variant">
      <vt:variant>
        <vt:i4>7798868</vt:i4>
      </vt:variant>
      <vt:variant>
        <vt:i4>273</vt:i4>
      </vt:variant>
      <vt:variant>
        <vt:i4>0</vt:i4>
      </vt:variant>
      <vt:variant>
        <vt:i4>5</vt:i4>
      </vt:variant>
      <vt:variant>
        <vt:lpwstr/>
      </vt:variant>
      <vt:variant>
        <vt:lpwstr>_Leistungspunktesystem</vt:lpwstr>
      </vt:variant>
      <vt:variant>
        <vt:i4>1245240</vt:i4>
      </vt:variant>
      <vt:variant>
        <vt:i4>270</vt:i4>
      </vt:variant>
      <vt:variant>
        <vt:i4>0</vt:i4>
      </vt:variant>
      <vt:variant>
        <vt:i4>5</vt:i4>
      </vt:variant>
      <vt:variant>
        <vt:lpwstr/>
      </vt:variant>
      <vt:variant>
        <vt:lpwstr>_Modularisierung</vt:lpwstr>
      </vt:variant>
      <vt:variant>
        <vt:i4>9306154</vt:i4>
      </vt:variant>
      <vt:variant>
        <vt:i4>267</vt:i4>
      </vt:variant>
      <vt:variant>
        <vt:i4>0</vt:i4>
      </vt:variant>
      <vt:variant>
        <vt:i4>5</vt:i4>
      </vt:variant>
      <vt:variant>
        <vt:lpwstr/>
      </vt:variant>
      <vt:variant>
        <vt:lpwstr>_Abschlüsse_und_Abschlussbezeichnung</vt:lpwstr>
      </vt:variant>
      <vt:variant>
        <vt:i4>6881352</vt:i4>
      </vt:variant>
      <vt:variant>
        <vt:i4>264</vt:i4>
      </vt:variant>
      <vt:variant>
        <vt:i4>0</vt:i4>
      </vt:variant>
      <vt:variant>
        <vt:i4>5</vt:i4>
      </vt:variant>
      <vt:variant>
        <vt:lpwstr/>
      </vt:variant>
      <vt:variant>
        <vt:lpwstr>_Zugangsvoraussetzungen</vt:lpwstr>
      </vt:variant>
      <vt:variant>
        <vt:i4>7405636</vt:i4>
      </vt:variant>
      <vt:variant>
        <vt:i4>261</vt:i4>
      </vt:variant>
      <vt:variant>
        <vt:i4>0</vt:i4>
      </vt:variant>
      <vt:variant>
        <vt:i4>5</vt:i4>
      </vt:variant>
      <vt:variant>
        <vt:lpwstr/>
      </vt:variant>
      <vt:variant>
        <vt:lpwstr>_Studiengangsprofil</vt:lpwstr>
      </vt:variant>
      <vt:variant>
        <vt:i4>393269</vt:i4>
      </vt:variant>
      <vt:variant>
        <vt:i4>258</vt:i4>
      </vt:variant>
      <vt:variant>
        <vt:i4>0</vt:i4>
      </vt:variant>
      <vt:variant>
        <vt:i4>5</vt:i4>
      </vt:variant>
      <vt:variant>
        <vt:lpwstr/>
      </vt:variant>
      <vt:variant>
        <vt:lpwstr>_Studienstruktur</vt:lpwstr>
      </vt:variant>
      <vt:variant>
        <vt:i4>1245240</vt:i4>
      </vt:variant>
      <vt:variant>
        <vt:i4>255</vt:i4>
      </vt:variant>
      <vt:variant>
        <vt:i4>0</vt:i4>
      </vt:variant>
      <vt:variant>
        <vt:i4>5</vt:i4>
      </vt:variant>
      <vt:variant>
        <vt:lpwstr/>
      </vt:variant>
      <vt:variant>
        <vt:lpwstr>_Modularisierung</vt:lpwstr>
      </vt:variant>
      <vt:variant>
        <vt:i4>9306154</vt:i4>
      </vt:variant>
      <vt:variant>
        <vt:i4>252</vt:i4>
      </vt:variant>
      <vt:variant>
        <vt:i4>0</vt:i4>
      </vt:variant>
      <vt:variant>
        <vt:i4>5</vt:i4>
      </vt:variant>
      <vt:variant>
        <vt:lpwstr/>
      </vt:variant>
      <vt:variant>
        <vt:lpwstr>_Abschlüsse_und_Abschlussbezeichnung</vt:lpwstr>
      </vt:variant>
      <vt:variant>
        <vt:i4>524336</vt:i4>
      </vt:variant>
      <vt:variant>
        <vt:i4>249</vt:i4>
      </vt:variant>
      <vt:variant>
        <vt:i4>0</vt:i4>
      </vt:variant>
      <vt:variant>
        <vt:i4>5</vt:i4>
      </vt:variant>
      <vt:variant>
        <vt:lpwstr/>
      </vt:variant>
      <vt:variant>
        <vt:lpwstr>_Lehrpersonal</vt:lpwstr>
      </vt:variant>
      <vt:variant>
        <vt:i4>8257631</vt:i4>
      </vt:variant>
      <vt:variant>
        <vt:i4>246</vt:i4>
      </vt:variant>
      <vt:variant>
        <vt:i4>0</vt:i4>
      </vt:variant>
      <vt:variant>
        <vt:i4>5</vt:i4>
      </vt:variant>
      <vt:variant>
        <vt:lpwstr/>
      </vt:variant>
      <vt:variant>
        <vt:lpwstr>_Studierbarkeit</vt:lpwstr>
      </vt:variant>
      <vt:variant>
        <vt:i4>327736</vt:i4>
      </vt:variant>
      <vt:variant>
        <vt:i4>243</vt:i4>
      </vt:variant>
      <vt:variant>
        <vt:i4>0</vt:i4>
      </vt:variant>
      <vt:variant>
        <vt:i4>5</vt:i4>
      </vt:variant>
      <vt:variant>
        <vt:lpwstr/>
      </vt:variant>
      <vt:variant>
        <vt:lpwstr>_Abschlussniveau</vt:lpwstr>
      </vt:variant>
      <vt:variant>
        <vt:i4>786470</vt:i4>
      </vt:variant>
      <vt:variant>
        <vt:i4>240</vt:i4>
      </vt:variant>
      <vt:variant>
        <vt:i4>0</vt:i4>
      </vt:variant>
      <vt:variant>
        <vt:i4>5</vt:i4>
      </vt:variant>
      <vt:variant>
        <vt:lpwstr/>
      </vt:variant>
      <vt:variant>
        <vt:lpwstr>_Qualifikationsziele</vt:lpwstr>
      </vt:variant>
      <vt:variant>
        <vt:i4>65569</vt:i4>
      </vt:variant>
      <vt:variant>
        <vt:i4>237</vt:i4>
      </vt:variant>
      <vt:variant>
        <vt:i4>0</vt:i4>
      </vt:variant>
      <vt:variant>
        <vt:i4>5</vt:i4>
      </vt:variant>
      <vt:variant>
        <vt:lpwstr/>
      </vt:variant>
      <vt:variant>
        <vt:lpwstr>_Verfahrensablauf</vt:lpwstr>
      </vt:variant>
      <vt:variant>
        <vt:i4>1310782</vt:i4>
      </vt:variant>
      <vt:variant>
        <vt:i4>230</vt:i4>
      </vt:variant>
      <vt:variant>
        <vt:i4>0</vt:i4>
      </vt:variant>
      <vt:variant>
        <vt:i4>5</vt:i4>
      </vt:variant>
      <vt:variant>
        <vt:lpwstr/>
      </vt:variant>
      <vt:variant>
        <vt:lpwstr>_Toc504395656</vt:lpwstr>
      </vt:variant>
      <vt:variant>
        <vt:i4>1310782</vt:i4>
      </vt:variant>
      <vt:variant>
        <vt:i4>224</vt:i4>
      </vt:variant>
      <vt:variant>
        <vt:i4>0</vt:i4>
      </vt:variant>
      <vt:variant>
        <vt:i4>5</vt:i4>
      </vt:variant>
      <vt:variant>
        <vt:lpwstr/>
      </vt:variant>
      <vt:variant>
        <vt:lpwstr>_Toc504395655</vt:lpwstr>
      </vt:variant>
      <vt:variant>
        <vt:i4>1310782</vt:i4>
      </vt:variant>
      <vt:variant>
        <vt:i4>218</vt:i4>
      </vt:variant>
      <vt:variant>
        <vt:i4>0</vt:i4>
      </vt:variant>
      <vt:variant>
        <vt:i4>5</vt:i4>
      </vt:variant>
      <vt:variant>
        <vt:lpwstr/>
      </vt:variant>
      <vt:variant>
        <vt:lpwstr>_Toc504395654</vt:lpwstr>
      </vt:variant>
      <vt:variant>
        <vt:i4>1310782</vt:i4>
      </vt:variant>
      <vt:variant>
        <vt:i4>212</vt:i4>
      </vt:variant>
      <vt:variant>
        <vt:i4>0</vt:i4>
      </vt:variant>
      <vt:variant>
        <vt:i4>5</vt:i4>
      </vt:variant>
      <vt:variant>
        <vt:lpwstr/>
      </vt:variant>
      <vt:variant>
        <vt:lpwstr>_Toc504395653</vt:lpwstr>
      </vt:variant>
      <vt:variant>
        <vt:i4>1310782</vt:i4>
      </vt:variant>
      <vt:variant>
        <vt:i4>206</vt:i4>
      </vt:variant>
      <vt:variant>
        <vt:i4>0</vt:i4>
      </vt:variant>
      <vt:variant>
        <vt:i4>5</vt:i4>
      </vt:variant>
      <vt:variant>
        <vt:lpwstr/>
      </vt:variant>
      <vt:variant>
        <vt:lpwstr>_Toc504395652</vt:lpwstr>
      </vt:variant>
      <vt:variant>
        <vt:i4>1310782</vt:i4>
      </vt:variant>
      <vt:variant>
        <vt:i4>200</vt:i4>
      </vt:variant>
      <vt:variant>
        <vt:i4>0</vt:i4>
      </vt:variant>
      <vt:variant>
        <vt:i4>5</vt:i4>
      </vt:variant>
      <vt:variant>
        <vt:lpwstr/>
      </vt:variant>
      <vt:variant>
        <vt:lpwstr>_Toc504395651</vt:lpwstr>
      </vt:variant>
      <vt:variant>
        <vt:i4>1310782</vt:i4>
      </vt:variant>
      <vt:variant>
        <vt:i4>194</vt:i4>
      </vt:variant>
      <vt:variant>
        <vt:i4>0</vt:i4>
      </vt:variant>
      <vt:variant>
        <vt:i4>5</vt:i4>
      </vt:variant>
      <vt:variant>
        <vt:lpwstr/>
      </vt:variant>
      <vt:variant>
        <vt:lpwstr>_Toc504395650</vt:lpwstr>
      </vt:variant>
      <vt:variant>
        <vt:i4>1376318</vt:i4>
      </vt:variant>
      <vt:variant>
        <vt:i4>188</vt:i4>
      </vt:variant>
      <vt:variant>
        <vt:i4>0</vt:i4>
      </vt:variant>
      <vt:variant>
        <vt:i4>5</vt:i4>
      </vt:variant>
      <vt:variant>
        <vt:lpwstr/>
      </vt:variant>
      <vt:variant>
        <vt:lpwstr>_Toc504395649</vt:lpwstr>
      </vt:variant>
      <vt:variant>
        <vt:i4>1376318</vt:i4>
      </vt:variant>
      <vt:variant>
        <vt:i4>182</vt:i4>
      </vt:variant>
      <vt:variant>
        <vt:i4>0</vt:i4>
      </vt:variant>
      <vt:variant>
        <vt:i4>5</vt:i4>
      </vt:variant>
      <vt:variant>
        <vt:lpwstr/>
      </vt:variant>
      <vt:variant>
        <vt:lpwstr>_Toc504395648</vt:lpwstr>
      </vt:variant>
      <vt:variant>
        <vt:i4>1376318</vt:i4>
      </vt:variant>
      <vt:variant>
        <vt:i4>176</vt:i4>
      </vt:variant>
      <vt:variant>
        <vt:i4>0</vt:i4>
      </vt:variant>
      <vt:variant>
        <vt:i4>5</vt:i4>
      </vt:variant>
      <vt:variant>
        <vt:lpwstr/>
      </vt:variant>
      <vt:variant>
        <vt:lpwstr>_Toc504395647</vt:lpwstr>
      </vt:variant>
      <vt:variant>
        <vt:i4>1376318</vt:i4>
      </vt:variant>
      <vt:variant>
        <vt:i4>170</vt:i4>
      </vt:variant>
      <vt:variant>
        <vt:i4>0</vt:i4>
      </vt:variant>
      <vt:variant>
        <vt:i4>5</vt:i4>
      </vt:variant>
      <vt:variant>
        <vt:lpwstr/>
      </vt:variant>
      <vt:variant>
        <vt:lpwstr>_Toc504395646</vt:lpwstr>
      </vt:variant>
      <vt:variant>
        <vt:i4>1376318</vt:i4>
      </vt:variant>
      <vt:variant>
        <vt:i4>164</vt:i4>
      </vt:variant>
      <vt:variant>
        <vt:i4>0</vt:i4>
      </vt:variant>
      <vt:variant>
        <vt:i4>5</vt:i4>
      </vt:variant>
      <vt:variant>
        <vt:lpwstr/>
      </vt:variant>
      <vt:variant>
        <vt:lpwstr>_Toc504395645</vt:lpwstr>
      </vt:variant>
      <vt:variant>
        <vt:i4>1376318</vt:i4>
      </vt:variant>
      <vt:variant>
        <vt:i4>158</vt:i4>
      </vt:variant>
      <vt:variant>
        <vt:i4>0</vt:i4>
      </vt:variant>
      <vt:variant>
        <vt:i4>5</vt:i4>
      </vt:variant>
      <vt:variant>
        <vt:lpwstr/>
      </vt:variant>
      <vt:variant>
        <vt:lpwstr>_Toc504395644</vt:lpwstr>
      </vt:variant>
      <vt:variant>
        <vt:i4>1376318</vt:i4>
      </vt:variant>
      <vt:variant>
        <vt:i4>152</vt:i4>
      </vt:variant>
      <vt:variant>
        <vt:i4>0</vt:i4>
      </vt:variant>
      <vt:variant>
        <vt:i4>5</vt:i4>
      </vt:variant>
      <vt:variant>
        <vt:lpwstr/>
      </vt:variant>
      <vt:variant>
        <vt:lpwstr>_Toc504395643</vt:lpwstr>
      </vt:variant>
      <vt:variant>
        <vt:i4>1376318</vt:i4>
      </vt:variant>
      <vt:variant>
        <vt:i4>146</vt:i4>
      </vt:variant>
      <vt:variant>
        <vt:i4>0</vt:i4>
      </vt:variant>
      <vt:variant>
        <vt:i4>5</vt:i4>
      </vt:variant>
      <vt:variant>
        <vt:lpwstr/>
      </vt:variant>
      <vt:variant>
        <vt:lpwstr>_Toc504395642</vt:lpwstr>
      </vt:variant>
      <vt:variant>
        <vt:i4>1376318</vt:i4>
      </vt:variant>
      <vt:variant>
        <vt:i4>140</vt:i4>
      </vt:variant>
      <vt:variant>
        <vt:i4>0</vt:i4>
      </vt:variant>
      <vt:variant>
        <vt:i4>5</vt:i4>
      </vt:variant>
      <vt:variant>
        <vt:lpwstr/>
      </vt:variant>
      <vt:variant>
        <vt:lpwstr>_Toc504395641</vt:lpwstr>
      </vt:variant>
      <vt:variant>
        <vt:i4>1376318</vt:i4>
      </vt:variant>
      <vt:variant>
        <vt:i4>134</vt:i4>
      </vt:variant>
      <vt:variant>
        <vt:i4>0</vt:i4>
      </vt:variant>
      <vt:variant>
        <vt:i4>5</vt:i4>
      </vt:variant>
      <vt:variant>
        <vt:lpwstr/>
      </vt:variant>
      <vt:variant>
        <vt:lpwstr>_Toc504395640</vt:lpwstr>
      </vt:variant>
      <vt:variant>
        <vt:i4>1179710</vt:i4>
      </vt:variant>
      <vt:variant>
        <vt:i4>128</vt:i4>
      </vt:variant>
      <vt:variant>
        <vt:i4>0</vt:i4>
      </vt:variant>
      <vt:variant>
        <vt:i4>5</vt:i4>
      </vt:variant>
      <vt:variant>
        <vt:lpwstr/>
      </vt:variant>
      <vt:variant>
        <vt:lpwstr>_Toc504395639</vt:lpwstr>
      </vt:variant>
      <vt:variant>
        <vt:i4>1179710</vt:i4>
      </vt:variant>
      <vt:variant>
        <vt:i4>122</vt:i4>
      </vt:variant>
      <vt:variant>
        <vt:i4>0</vt:i4>
      </vt:variant>
      <vt:variant>
        <vt:i4>5</vt:i4>
      </vt:variant>
      <vt:variant>
        <vt:lpwstr/>
      </vt:variant>
      <vt:variant>
        <vt:lpwstr>_Toc504395638</vt:lpwstr>
      </vt:variant>
      <vt:variant>
        <vt:i4>1179710</vt:i4>
      </vt:variant>
      <vt:variant>
        <vt:i4>116</vt:i4>
      </vt:variant>
      <vt:variant>
        <vt:i4>0</vt:i4>
      </vt:variant>
      <vt:variant>
        <vt:i4>5</vt:i4>
      </vt:variant>
      <vt:variant>
        <vt:lpwstr/>
      </vt:variant>
      <vt:variant>
        <vt:lpwstr>_Toc504395637</vt:lpwstr>
      </vt:variant>
      <vt:variant>
        <vt:i4>1179710</vt:i4>
      </vt:variant>
      <vt:variant>
        <vt:i4>110</vt:i4>
      </vt:variant>
      <vt:variant>
        <vt:i4>0</vt:i4>
      </vt:variant>
      <vt:variant>
        <vt:i4>5</vt:i4>
      </vt:variant>
      <vt:variant>
        <vt:lpwstr/>
      </vt:variant>
      <vt:variant>
        <vt:lpwstr>_Toc504395636</vt:lpwstr>
      </vt:variant>
      <vt:variant>
        <vt:i4>1179710</vt:i4>
      </vt:variant>
      <vt:variant>
        <vt:i4>104</vt:i4>
      </vt:variant>
      <vt:variant>
        <vt:i4>0</vt:i4>
      </vt:variant>
      <vt:variant>
        <vt:i4>5</vt:i4>
      </vt:variant>
      <vt:variant>
        <vt:lpwstr/>
      </vt:variant>
      <vt:variant>
        <vt:lpwstr>_Toc504395635</vt:lpwstr>
      </vt:variant>
      <vt:variant>
        <vt:i4>1179710</vt:i4>
      </vt:variant>
      <vt:variant>
        <vt:i4>98</vt:i4>
      </vt:variant>
      <vt:variant>
        <vt:i4>0</vt:i4>
      </vt:variant>
      <vt:variant>
        <vt:i4>5</vt:i4>
      </vt:variant>
      <vt:variant>
        <vt:lpwstr/>
      </vt:variant>
      <vt:variant>
        <vt:lpwstr>_Toc504395634</vt:lpwstr>
      </vt:variant>
      <vt:variant>
        <vt:i4>1179710</vt:i4>
      </vt:variant>
      <vt:variant>
        <vt:i4>92</vt:i4>
      </vt:variant>
      <vt:variant>
        <vt:i4>0</vt:i4>
      </vt:variant>
      <vt:variant>
        <vt:i4>5</vt:i4>
      </vt:variant>
      <vt:variant>
        <vt:lpwstr/>
      </vt:variant>
      <vt:variant>
        <vt:lpwstr>_Toc504395633</vt:lpwstr>
      </vt:variant>
      <vt:variant>
        <vt:i4>1179710</vt:i4>
      </vt:variant>
      <vt:variant>
        <vt:i4>86</vt:i4>
      </vt:variant>
      <vt:variant>
        <vt:i4>0</vt:i4>
      </vt:variant>
      <vt:variant>
        <vt:i4>5</vt:i4>
      </vt:variant>
      <vt:variant>
        <vt:lpwstr/>
      </vt:variant>
      <vt:variant>
        <vt:lpwstr>_Toc504395632</vt:lpwstr>
      </vt:variant>
      <vt:variant>
        <vt:i4>1179710</vt:i4>
      </vt:variant>
      <vt:variant>
        <vt:i4>80</vt:i4>
      </vt:variant>
      <vt:variant>
        <vt:i4>0</vt:i4>
      </vt:variant>
      <vt:variant>
        <vt:i4>5</vt:i4>
      </vt:variant>
      <vt:variant>
        <vt:lpwstr/>
      </vt:variant>
      <vt:variant>
        <vt:lpwstr>_Toc504395631</vt:lpwstr>
      </vt:variant>
      <vt:variant>
        <vt:i4>1179710</vt:i4>
      </vt:variant>
      <vt:variant>
        <vt:i4>74</vt:i4>
      </vt:variant>
      <vt:variant>
        <vt:i4>0</vt:i4>
      </vt:variant>
      <vt:variant>
        <vt:i4>5</vt:i4>
      </vt:variant>
      <vt:variant>
        <vt:lpwstr/>
      </vt:variant>
      <vt:variant>
        <vt:lpwstr>_Toc504395630</vt:lpwstr>
      </vt:variant>
      <vt:variant>
        <vt:i4>1245246</vt:i4>
      </vt:variant>
      <vt:variant>
        <vt:i4>68</vt:i4>
      </vt:variant>
      <vt:variant>
        <vt:i4>0</vt:i4>
      </vt:variant>
      <vt:variant>
        <vt:i4>5</vt:i4>
      </vt:variant>
      <vt:variant>
        <vt:lpwstr/>
      </vt:variant>
      <vt:variant>
        <vt:lpwstr>_Toc504395629</vt:lpwstr>
      </vt:variant>
      <vt:variant>
        <vt:i4>1245246</vt:i4>
      </vt:variant>
      <vt:variant>
        <vt:i4>62</vt:i4>
      </vt:variant>
      <vt:variant>
        <vt:i4>0</vt:i4>
      </vt:variant>
      <vt:variant>
        <vt:i4>5</vt:i4>
      </vt:variant>
      <vt:variant>
        <vt:lpwstr/>
      </vt:variant>
      <vt:variant>
        <vt:lpwstr>_Toc504395628</vt:lpwstr>
      </vt:variant>
      <vt:variant>
        <vt:i4>1245246</vt:i4>
      </vt:variant>
      <vt:variant>
        <vt:i4>56</vt:i4>
      </vt:variant>
      <vt:variant>
        <vt:i4>0</vt:i4>
      </vt:variant>
      <vt:variant>
        <vt:i4>5</vt:i4>
      </vt:variant>
      <vt:variant>
        <vt:lpwstr/>
      </vt:variant>
      <vt:variant>
        <vt:lpwstr>_Toc504395627</vt:lpwstr>
      </vt:variant>
      <vt:variant>
        <vt:i4>1245246</vt:i4>
      </vt:variant>
      <vt:variant>
        <vt:i4>50</vt:i4>
      </vt:variant>
      <vt:variant>
        <vt:i4>0</vt:i4>
      </vt:variant>
      <vt:variant>
        <vt:i4>5</vt:i4>
      </vt:variant>
      <vt:variant>
        <vt:lpwstr/>
      </vt:variant>
      <vt:variant>
        <vt:lpwstr>_Toc504395626</vt:lpwstr>
      </vt:variant>
      <vt:variant>
        <vt:i4>1245246</vt:i4>
      </vt:variant>
      <vt:variant>
        <vt:i4>44</vt:i4>
      </vt:variant>
      <vt:variant>
        <vt:i4>0</vt:i4>
      </vt:variant>
      <vt:variant>
        <vt:i4>5</vt:i4>
      </vt:variant>
      <vt:variant>
        <vt:lpwstr/>
      </vt:variant>
      <vt:variant>
        <vt:lpwstr>_Toc504395625</vt:lpwstr>
      </vt:variant>
      <vt:variant>
        <vt:i4>1245246</vt:i4>
      </vt:variant>
      <vt:variant>
        <vt:i4>38</vt:i4>
      </vt:variant>
      <vt:variant>
        <vt:i4>0</vt:i4>
      </vt:variant>
      <vt:variant>
        <vt:i4>5</vt:i4>
      </vt:variant>
      <vt:variant>
        <vt:lpwstr/>
      </vt:variant>
      <vt:variant>
        <vt:lpwstr>_Toc504395624</vt:lpwstr>
      </vt:variant>
      <vt:variant>
        <vt:i4>1245246</vt:i4>
      </vt:variant>
      <vt:variant>
        <vt:i4>32</vt:i4>
      </vt:variant>
      <vt:variant>
        <vt:i4>0</vt:i4>
      </vt:variant>
      <vt:variant>
        <vt:i4>5</vt:i4>
      </vt:variant>
      <vt:variant>
        <vt:lpwstr/>
      </vt:variant>
      <vt:variant>
        <vt:lpwstr>_Toc504395623</vt:lpwstr>
      </vt:variant>
      <vt:variant>
        <vt:i4>1245246</vt:i4>
      </vt:variant>
      <vt:variant>
        <vt:i4>26</vt:i4>
      </vt:variant>
      <vt:variant>
        <vt:i4>0</vt:i4>
      </vt:variant>
      <vt:variant>
        <vt:i4>5</vt:i4>
      </vt:variant>
      <vt:variant>
        <vt:lpwstr/>
      </vt:variant>
      <vt:variant>
        <vt:lpwstr>_Toc504395622</vt:lpwstr>
      </vt:variant>
      <vt:variant>
        <vt:i4>1245246</vt:i4>
      </vt:variant>
      <vt:variant>
        <vt:i4>20</vt:i4>
      </vt:variant>
      <vt:variant>
        <vt:i4>0</vt:i4>
      </vt:variant>
      <vt:variant>
        <vt:i4>5</vt:i4>
      </vt:variant>
      <vt:variant>
        <vt:lpwstr/>
      </vt:variant>
      <vt:variant>
        <vt:lpwstr>_Toc504395621</vt:lpwstr>
      </vt:variant>
      <vt:variant>
        <vt:i4>1245246</vt:i4>
      </vt:variant>
      <vt:variant>
        <vt:i4>14</vt:i4>
      </vt:variant>
      <vt:variant>
        <vt:i4>0</vt:i4>
      </vt:variant>
      <vt:variant>
        <vt:i4>5</vt:i4>
      </vt:variant>
      <vt:variant>
        <vt:lpwstr/>
      </vt:variant>
      <vt:variant>
        <vt:lpwstr>_Toc504395620</vt:lpwstr>
      </vt:variant>
      <vt:variant>
        <vt:i4>1048638</vt:i4>
      </vt:variant>
      <vt:variant>
        <vt:i4>8</vt:i4>
      </vt:variant>
      <vt:variant>
        <vt:i4>0</vt:i4>
      </vt:variant>
      <vt:variant>
        <vt:i4>5</vt:i4>
      </vt:variant>
      <vt:variant>
        <vt:lpwstr/>
      </vt:variant>
      <vt:variant>
        <vt:lpwstr>_Toc504395619</vt:lpwstr>
      </vt:variant>
      <vt:variant>
        <vt:i4>1048638</vt:i4>
      </vt:variant>
      <vt:variant>
        <vt:i4>2</vt:i4>
      </vt:variant>
      <vt:variant>
        <vt:i4>0</vt:i4>
      </vt:variant>
      <vt:variant>
        <vt:i4>5</vt:i4>
      </vt:variant>
      <vt:variant>
        <vt:lpwstr/>
      </vt:variant>
      <vt:variant>
        <vt:lpwstr>_Toc504395618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Petracenko</dc:creator>
  <cp:keywords>Vorlagen</cp:keywords>
  <dc:description/>
  <cp:lastModifiedBy>Paulina Petracenko</cp:lastModifiedBy>
  <cp:revision>2</cp:revision>
  <cp:lastPrinted>2020-03-18T12:08:00Z</cp:lastPrinted>
  <dcterms:created xsi:type="dcterms:W3CDTF">2025-02-13T14:08:00Z</dcterms:created>
  <dcterms:modified xsi:type="dcterms:W3CDTF">2025-02-13T14:08:00Z</dcterms:modified>
</cp:coreProperties>
</file>